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B05" w:rsidRPr="00293B05" w:rsidRDefault="00293B05" w:rsidP="00293B05"/>
    <w:sdt>
      <w:sdtPr>
        <w:id w:val="-138625442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293B05" w:rsidRPr="00293B05" w:rsidRDefault="00293B05" w:rsidP="00293B05">
          <w:pPr>
            <w:pStyle w:val="ab"/>
            <w:jc w:val="center"/>
            <w:rPr>
              <w:rFonts w:ascii="Times New Roman" w:hAnsi="Times New Roman" w:cs="Times New Roman"/>
              <w:b/>
              <w:color w:val="auto"/>
              <w:sz w:val="28"/>
              <w:szCs w:val="28"/>
            </w:rPr>
          </w:pPr>
          <w:r w:rsidRPr="00293B05">
            <w:rPr>
              <w:rFonts w:ascii="Times New Roman" w:hAnsi="Times New Roman" w:cs="Times New Roman"/>
              <w:b/>
              <w:color w:val="auto"/>
              <w:sz w:val="28"/>
              <w:szCs w:val="28"/>
            </w:rPr>
            <w:t>Содержание</w:t>
          </w:r>
        </w:p>
        <w:p w:rsidR="00293B05" w:rsidRPr="00293B05" w:rsidRDefault="00293B05" w:rsidP="00293B05">
          <w:pPr>
            <w:pStyle w:val="11"/>
            <w:tabs>
              <w:tab w:val="right" w:leader="dot" w:pos="9345"/>
            </w:tabs>
            <w:jc w:val="both"/>
            <w:rPr>
              <w:rFonts w:ascii="Times New Roman" w:hAnsi="Times New Roman" w:cs="Times New Roman"/>
              <w:noProof/>
              <w:sz w:val="28"/>
              <w:szCs w:val="28"/>
            </w:rPr>
          </w:pPr>
          <w:r w:rsidRPr="00293B05">
            <w:rPr>
              <w:rFonts w:ascii="Times New Roman" w:hAnsi="Times New Roman" w:cs="Times New Roman"/>
              <w:b/>
              <w:bCs/>
              <w:sz w:val="28"/>
              <w:szCs w:val="28"/>
            </w:rPr>
            <w:fldChar w:fldCharType="begin"/>
          </w:r>
          <w:r w:rsidRPr="00293B05">
            <w:rPr>
              <w:rFonts w:ascii="Times New Roman" w:hAnsi="Times New Roman" w:cs="Times New Roman"/>
              <w:b/>
              <w:bCs/>
              <w:sz w:val="28"/>
              <w:szCs w:val="28"/>
            </w:rPr>
            <w:instrText xml:space="preserve"> TOC \o "1-3" \h \z \u </w:instrText>
          </w:r>
          <w:r w:rsidRPr="00293B05">
            <w:rPr>
              <w:rFonts w:ascii="Times New Roman" w:hAnsi="Times New Roman" w:cs="Times New Roman"/>
              <w:b/>
              <w:bCs/>
              <w:sz w:val="28"/>
              <w:szCs w:val="28"/>
            </w:rPr>
            <w:fldChar w:fldCharType="separate"/>
          </w:r>
          <w:hyperlink w:anchor="_Toc8660715" w:history="1">
            <w:r w:rsidRPr="00293B05">
              <w:rPr>
                <w:rStyle w:val="a3"/>
                <w:rFonts w:ascii="Times New Roman" w:hAnsi="Times New Roman" w:cs="Times New Roman"/>
                <w:noProof/>
                <w:sz w:val="28"/>
                <w:szCs w:val="28"/>
              </w:rPr>
              <w:t>Контрольная работа № 1</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_Toc8660715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2</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16" w:history="1">
            <w:r w:rsidRPr="00293B05">
              <w:rPr>
                <w:rStyle w:val="a3"/>
                <w:rFonts w:ascii="Times New Roman" w:hAnsi="Times New Roman" w:cs="Times New Roman"/>
                <w:noProof/>
                <w:sz w:val="28"/>
                <w:szCs w:val="28"/>
              </w:rPr>
              <w:t>Теоретическое задание</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_Toc8660716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2</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17" w:history="1">
            <w:r w:rsidRPr="00293B05">
              <w:rPr>
                <w:rStyle w:val="a3"/>
                <w:rFonts w:ascii="Times New Roman" w:hAnsi="Times New Roman" w:cs="Times New Roman"/>
                <w:noProof/>
                <w:sz w:val="28"/>
                <w:szCs w:val="28"/>
              </w:rPr>
              <w:t>Время отдыха.</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_Toc8660717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2</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18" w:history="1">
            <w:r w:rsidRPr="00293B05">
              <w:rPr>
                <w:rStyle w:val="a3"/>
                <w:rFonts w:ascii="Times New Roman" w:hAnsi="Times New Roman" w:cs="Times New Roman"/>
                <w:noProof/>
                <w:sz w:val="28"/>
                <w:szCs w:val="28"/>
              </w:rPr>
              <w:t>Задание</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_Toc8660718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9</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11"/>
            <w:tabs>
              <w:tab w:val="right" w:leader="dot" w:pos="9345"/>
            </w:tabs>
            <w:jc w:val="both"/>
            <w:rPr>
              <w:rFonts w:ascii="Times New Roman" w:hAnsi="Times New Roman" w:cs="Times New Roman"/>
              <w:noProof/>
              <w:sz w:val="28"/>
              <w:szCs w:val="28"/>
            </w:rPr>
          </w:pPr>
          <w:hyperlink w:anchor="_Toc8660719" w:history="1">
            <w:r w:rsidRPr="00293B05">
              <w:rPr>
                <w:rStyle w:val="a3"/>
                <w:rFonts w:ascii="Times New Roman" w:hAnsi="Times New Roman" w:cs="Times New Roman"/>
                <w:noProof/>
                <w:sz w:val="28"/>
                <w:szCs w:val="28"/>
              </w:rPr>
              <w:t>Контрольная работа № 2</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_Toc8660719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10</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20" w:history="1">
            <w:r w:rsidRPr="00293B05">
              <w:rPr>
                <w:rStyle w:val="a3"/>
                <w:rFonts w:ascii="Times New Roman" w:hAnsi="Times New Roman" w:cs="Times New Roman"/>
                <w:noProof/>
                <w:sz w:val="28"/>
                <w:szCs w:val="28"/>
              </w:rPr>
              <w:t>Теоретические вопросы</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_Toc8660720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10</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21" w:history="1">
            <w:r w:rsidRPr="00293B05">
              <w:rPr>
                <w:rStyle w:val="a3"/>
                <w:rFonts w:ascii="Times New Roman" w:hAnsi="Times New Roman" w:cs="Times New Roman"/>
                <w:noProof/>
                <w:sz w:val="28"/>
                <w:szCs w:val="28"/>
              </w:rPr>
              <w:t>1. Материальная ответственность работодателя перед работником.</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_Toc8660721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10</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21"/>
            <w:tabs>
              <w:tab w:val="right" w:leader="dot" w:pos="9345"/>
            </w:tabs>
            <w:jc w:val="both"/>
            <w:rPr>
              <w:rFonts w:ascii="Times New Roman" w:hAnsi="Times New Roman" w:cs="Times New Roman"/>
              <w:noProof/>
              <w:sz w:val="28"/>
              <w:szCs w:val="28"/>
            </w:rPr>
          </w:pPr>
          <w:hyperlink w:anchor="_Toc8660722" w:history="1">
            <w:r w:rsidRPr="00293B05">
              <w:rPr>
                <w:rStyle w:val="a3"/>
                <w:rFonts w:ascii="Times New Roman" w:hAnsi="Times New Roman" w:cs="Times New Roman"/>
                <w:noProof/>
                <w:sz w:val="28"/>
                <w:szCs w:val="28"/>
              </w:rPr>
              <w:t>2. Дополнительные основания прекращения трудового договора с помощником нотариуса</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_Toc8660722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15</w:t>
            </w:r>
            <w:r w:rsidRPr="00293B05">
              <w:rPr>
                <w:rFonts w:ascii="Times New Roman" w:hAnsi="Times New Roman" w:cs="Times New Roman"/>
                <w:noProof/>
                <w:webHidden/>
                <w:sz w:val="28"/>
                <w:szCs w:val="28"/>
              </w:rPr>
              <w:fldChar w:fldCharType="end"/>
            </w:r>
          </w:hyperlink>
        </w:p>
        <w:p w:rsidR="00293B05" w:rsidRPr="00293B05" w:rsidRDefault="00293B05" w:rsidP="00293B05">
          <w:pPr>
            <w:pStyle w:val="11"/>
            <w:tabs>
              <w:tab w:val="right" w:leader="dot" w:pos="9345"/>
            </w:tabs>
            <w:jc w:val="both"/>
            <w:rPr>
              <w:rFonts w:ascii="Times New Roman" w:hAnsi="Times New Roman" w:cs="Times New Roman"/>
              <w:noProof/>
              <w:sz w:val="28"/>
              <w:szCs w:val="28"/>
            </w:rPr>
          </w:pPr>
          <w:hyperlink w:anchor="_Toc8660723" w:history="1">
            <w:r w:rsidRPr="00293B05">
              <w:rPr>
                <w:rStyle w:val="a3"/>
                <w:rFonts w:ascii="Times New Roman" w:hAnsi="Times New Roman" w:cs="Times New Roman"/>
                <w:noProof/>
                <w:sz w:val="28"/>
                <w:szCs w:val="28"/>
              </w:rPr>
              <w:t>Список использованной литературы</w:t>
            </w:r>
            <w:r w:rsidRPr="00293B05">
              <w:rPr>
                <w:rFonts w:ascii="Times New Roman" w:hAnsi="Times New Roman" w:cs="Times New Roman"/>
                <w:noProof/>
                <w:webHidden/>
                <w:sz w:val="28"/>
                <w:szCs w:val="28"/>
              </w:rPr>
              <w:tab/>
            </w:r>
            <w:r w:rsidRPr="00293B05">
              <w:rPr>
                <w:rFonts w:ascii="Times New Roman" w:hAnsi="Times New Roman" w:cs="Times New Roman"/>
                <w:noProof/>
                <w:webHidden/>
                <w:sz w:val="28"/>
                <w:szCs w:val="28"/>
              </w:rPr>
              <w:fldChar w:fldCharType="begin"/>
            </w:r>
            <w:r w:rsidRPr="00293B05">
              <w:rPr>
                <w:rFonts w:ascii="Times New Roman" w:hAnsi="Times New Roman" w:cs="Times New Roman"/>
                <w:noProof/>
                <w:webHidden/>
                <w:sz w:val="28"/>
                <w:szCs w:val="28"/>
              </w:rPr>
              <w:instrText xml:space="preserve"> PAGEREF _Toc8660723 \h </w:instrText>
            </w:r>
            <w:r w:rsidRPr="00293B05">
              <w:rPr>
                <w:rFonts w:ascii="Times New Roman" w:hAnsi="Times New Roman" w:cs="Times New Roman"/>
                <w:noProof/>
                <w:webHidden/>
                <w:sz w:val="28"/>
                <w:szCs w:val="28"/>
              </w:rPr>
            </w:r>
            <w:r w:rsidRPr="00293B05">
              <w:rPr>
                <w:rFonts w:ascii="Times New Roman" w:hAnsi="Times New Roman" w:cs="Times New Roman"/>
                <w:noProof/>
                <w:webHidden/>
                <w:sz w:val="28"/>
                <w:szCs w:val="28"/>
              </w:rPr>
              <w:fldChar w:fldCharType="separate"/>
            </w:r>
            <w:r w:rsidRPr="00293B05">
              <w:rPr>
                <w:rFonts w:ascii="Times New Roman" w:hAnsi="Times New Roman" w:cs="Times New Roman"/>
                <w:noProof/>
                <w:webHidden/>
                <w:sz w:val="28"/>
                <w:szCs w:val="28"/>
              </w:rPr>
              <w:t>22</w:t>
            </w:r>
            <w:r w:rsidRPr="00293B05">
              <w:rPr>
                <w:rFonts w:ascii="Times New Roman" w:hAnsi="Times New Roman" w:cs="Times New Roman"/>
                <w:noProof/>
                <w:webHidden/>
                <w:sz w:val="28"/>
                <w:szCs w:val="28"/>
              </w:rPr>
              <w:fldChar w:fldCharType="end"/>
            </w:r>
          </w:hyperlink>
        </w:p>
        <w:p w:rsidR="00293B05" w:rsidRDefault="00293B05" w:rsidP="00293B05">
          <w:pPr>
            <w:jc w:val="both"/>
          </w:pPr>
          <w:r w:rsidRPr="00293B05">
            <w:rPr>
              <w:rFonts w:ascii="Times New Roman" w:hAnsi="Times New Roman" w:cs="Times New Roman"/>
              <w:b/>
              <w:bCs/>
              <w:sz w:val="28"/>
              <w:szCs w:val="28"/>
            </w:rPr>
            <w:fldChar w:fldCharType="end"/>
          </w:r>
        </w:p>
      </w:sdtContent>
    </w:sdt>
    <w:p w:rsidR="00293B05" w:rsidRPr="00293B05" w:rsidRDefault="00293B05" w:rsidP="00293B05"/>
    <w:p w:rsidR="00293B05" w:rsidRDefault="00293B05" w:rsidP="00293B05"/>
    <w:p w:rsidR="00293B05" w:rsidRPr="00293B05" w:rsidRDefault="00293B05" w:rsidP="00293B05"/>
    <w:p w:rsidR="00293B05" w:rsidRPr="00293B05" w:rsidRDefault="00293B05" w:rsidP="00293B05"/>
    <w:p w:rsidR="00293B05" w:rsidRPr="00293B05" w:rsidRDefault="00293B05" w:rsidP="00293B05"/>
    <w:p w:rsidR="00293B05" w:rsidRDefault="00293B05" w:rsidP="00293B05"/>
    <w:p w:rsidR="00293B05" w:rsidRDefault="00293B05" w:rsidP="00293B05"/>
    <w:p w:rsidR="00293B05" w:rsidRDefault="00293B05" w:rsidP="00293B05">
      <w:pPr>
        <w:tabs>
          <w:tab w:val="left" w:pos="3855"/>
        </w:tabs>
      </w:pPr>
      <w:r>
        <w:tab/>
      </w:r>
    </w:p>
    <w:p w:rsidR="00293B05" w:rsidRDefault="00293B05" w:rsidP="00293B05"/>
    <w:p w:rsidR="00293B05" w:rsidRDefault="00293B05" w:rsidP="00293B05"/>
    <w:p w:rsidR="00293B05" w:rsidRDefault="00293B05" w:rsidP="00293B05"/>
    <w:p w:rsidR="00293B05" w:rsidRDefault="00293B05" w:rsidP="00293B05"/>
    <w:p w:rsidR="00293B05" w:rsidRDefault="00293B05" w:rsidP="00293B05"/>
    <w:p w:rsidR="00293B05" w:rsidRDefault="00293B05" w:rsidP="00293B05"/>
    <w:p w:rsidR="00293B05" w:rsidRDefault="00293B05" w:rsidP="00293B05">
      <w:pPr>
        <w:pStyle w:val="1"/>
        <w:rPr>
          <w:b w:val="0"/>
        </w:rPr>
      </w:pPr>
    </w:p>
    <w:p w:rsidR="00293B05" w:rsidRDefault="00293B05" w:rsidP="00293B05"/>
    <w:p w:rsidR="00293B05" w:rsidRPr="00293B05" w:rsidRDefault="00293B05" w:rsidP="00293B05">
      <w:bookmarkStart w:id="0" w:name="_GoBack"/>
      <w:bookmarkEnd w:id="0"/>
    </w:p>
    <w:p w:rsidR="006F2674" w:rsidRDefault="002B2180" w:rsidP="00293B05">
      <w:pPr>
        <w:pStyle w:val="1"/>
      </w:pPr>
      <w:bookmarkStart w:id="1" w:name="_Toc8660715"/>
      <w:r w:rsidRPr="002B2180">
        <w:lastRenderedPageBreak/>
        <w:t>Контрольная работа № 1</w:t>
      </w:r>
      <w:bookmarkEnd w:id="1"/>
    </w:p>
    <w:p w:rsidR="00293B05" w:rsidRPr="00293B05" w:rsidRDefault="002B2180" w:rsidP="00293B05">
      <w:pPr>
        <w:pStyle w:val="2"/>
      </w:pPr>
      <w:bookmarkStart w:id="2" w:name="_Toc8660716"/>
      <w:r>
        <w:t>Теоретическое задание</w:t>
      </w:r>
      <w:bookmarkEnd w:id="2"/>
      <w:r>
        <w:t xml:space="preserve"> </w:t>
      </w:r>
    </w:p>
    <w:p w:rsidR="002B2180" w:rsidRDefault="002B2180" w:rsidP="00293B05">
      <w:pPr>
        <w:pStyle w:val="2"/>
      </w:pPr>
      <w:bookmarkStart w:id="3" w:name="_Toc8660717"/>
      <w:r w:rsidRPr="002B2180">
        <w:t>Время отдыха.</w:t>
      </w:r>
      <w:bookmarkEnd w:id="3"/>
    </w:p>
    <w:p w:rsidR="00293B05" w:rsidRPr="00293B05" w:rsidRDefault="00293B05" w:rsidP="00293B05"/>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Время отдыха</w:t>
      </w:r>
      <w:r w:rsidRPr="002B2180">
        <w:rPr>
          <w:rFonts w:ascii="Times New Roman" w:hAnsi="Times New Roman" w:cs="Times New Roman"/>
          <w:sz w:val="28"/>
          <w:szCs w:val="28"/>
        </w:rPr>
        <w:t> – это время, в течение которого работник свободен от исполнения трудовых обязанностей и которое он может использовать по своему усмотрению.</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Видами времени отдыха являются:</w:t>
      </w:r>
    </w:p>
    <w:p w:rsidR="002B2180" w:rsidRPr="002B2180" w:rsidRDefault="002B2180" w:rsidP="002B2180">
      <w:pPr>
        <w:numPr>
          <w:ilvl w:val="0"/>
          <w:numId w:val="1"/>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Перерывы в течение рабочего дня (смены).</w:t>
      </w:r>
    </w:p>
    <w:p w:rsidR="002B2180" w:rsidRPr="002B2180" w:rsidRDefault="002B2180" w:rsidP="002B2180">
      <w:pPr>
        <w:numPr>
          <w:ilvl w:val="0"/>
          <w:numId w:val="1"/>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Ежедневный (междусменный) отдых.</w:t>
      </w:r>
    </w:p>
    <w:p w:rsidR="002B2180" w:rsidRPr="002B2180" w:rsidRDefault="002B2180" w:rsidP="002B2180">
      <w:pPr>
        <w:numPr>
          <w:ilvl w:val="0"/>
          <w:numId w:val="1"/>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Выходные дни (еженедельный непрерывный отдых).</w:t>
      </w:r>
    </w:p>
    <w:p w:rsidR="002B2180" w:rsidRPr="002B2180" w:rsidRDefault="002B2180" w:rsidP="002B2180">
      <w:pPr>
        <w:numPr>
          <w:ilvl w:val="0"/>
          <w:numId w:val="1"/>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Нерабочие праздничные дни.</w:t>
      </w:r>
    </w:p>
    <w:p w:rsidR="002B2180" w:rsidRPr="002B2180" w:rsidRDefault="002B2180" w:rsidP="002B2180">
      <w:pPr>
        <w:numPr>
          <w:ilvl w:val="0"/>
          <w:numId w:val="1"/>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Отпуска. </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1. Перерывы в течение рабочего дня (смены)</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Перерывы в течение рабочего дня подразделяются на:</w:t>
      </w:r>
    </w:p>
    <w:p w:rsidR="002B2180" w:rsidRPr="002B2180" w:rsidRDefault="002B2180" w:rsidP="002B2180">
      <w:pPr>
        <w:numPr>
          <w:ilvl w:val="0"/>
          <w:numId w:val="2"/>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Перерывы для отдыха и питания.</w:t>
      </w:r>
    </w:p>
    <w:p w:rsidR="002B2180" w:rsidRPr="002B2180" w:rsidRDefault="002B2180" w:rsidP="002B2180">
      <w:pPr>
        <w:numPr>
          <w:ilvl w:val="0"/>
          <w:numId w:val="2"/>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Перерывы для обогревания и отдыха.</w:t>
      </w:r>
    </w:p>
    <w:p w:rsidR="002B2180" w:rsidRPr="002B2180" w:rsidRDefault="002B2180" w:rsidP="002B2180">
      <w:pPr>
        <w:numPr>
          <w:ilvl w:val="0"/>
          <w:numId w:val="2"/>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Перерывы на кормление ребенка (для женщин с детьми до полутора лет).</w:t>
      </w:r>
    </w:p>
    <w:p w:rsidR="002B2180" w:rsidRPr="002B2180" w:rsidRDefault="002B2180" w:rsidP="002B2180">
      <w:pPr>
        <w:numPr>
          <w:ilvl w:val="0"/>
          <w:numId w:val="2"/>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Технологические перерывы (для лиц, работающих на определенных видах оборудования и пр.)</w:t>
      </w:r>
    </w:p>
    <w:p w:rsidR="002B2180" w:rsidRDefault="002B2180" w:rsidP="002B2180">
      <w:pPr>
        <w:spacing w:line="360" w:lineRule="auto"/>
        <w:jc w:val="both"/>
        <w:rPr>
          <w:rFonts w:ascii="Times New Roman" w:hAnsi="Times New Roman" w:cs="Times New Roman"/>
          <w:b/>
          <w:bCs/>
          <w:sz w:val="28"/>
          <w:szCs w:val="28"/>
        </w:rPr>
      </w:pPr>
    </w:p>
    <w:p w:rsidR="002B2180" w:rsidRDefault="002B2180" w:rsidP="002B2180">
      <w:pPr>
        <w:spacing w:line="360" w:lineRule="auto"/>
        <w:jc w:val="both"/>
        <w:rPr>
          <w:rFonts w:ascii="Times New Roman" w:hAnsi="Times New Roman" w:cs="Times New Roman"/>
          <w:b/>
          <w:bCs/>
          <w:sz w:val="28"/>
          <w:szCs w:val="28"/>
        </w:rPr>
      </w:pPr>
    </w:p>
    <w:p w:rsidR="002B2180" w:rsidRDefault="002B2180" w:rsidP="002B2180">
      <w:pPr>
        <w:spacing w:line="360" w:lineRule="auto"/>
        <w:jc w:val="both"/>
        <w:rPr>
          <w:rFonts w:ascii="Times New Roman" w:hAnsi="Times New Roman" w:cs="Times New Roman"/>
          <w:b/>
          <w:bCs/>
          <w:sz w:val="28"/>
          <w:szCs w:val="28"/>
        </w:rPr>
      </w:pP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Перерывы для отдыха и питания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В течение рабочего дня (смены) работнику должен быть предоставлен перерыв для отдыха и питания продолжительностью не более 2 часов и не менее 30 минут, который в рабочее время не включается.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 или коллективным договором.</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Перерыв для отдыха и питания (в отличие от других перерывов в течение рабочего дня) не включается в рабочее время и оплате не подлежит.</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Закон устанавливает работающим женщинам, имеющим детей в возрасте до полутора лет, помимо перерыва для отдыха и питания дополнительные перерывы для кормления ребенка (детей) не реже чем через каждые 3 часа непрерывной работы продолжительностью не менее 30 минут каждый.</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 наличии у работающей женщины двух детей и более в возрасте до полутора лет продолжительность перерыва для кормления устанавливается не менее 1 часа. По желанию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с соответствующим его сокращением.</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Такие перерывы включаются в рабочее время и подлежат оплате в размере среднего заработка.</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Перерывы для обогревания и отдыха</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В течение рабочего времени на отдельных видах работ предусматриваются специальные перерывы в связи с технологией и организацией труда и производства (перерывы между производственными операциями для лиц, занятых на работах с вредными условиями труда, на работе с компьютерной и множительной техникой, для занятия производственной гимнастикой и т.п.).</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Они включаются в рабочее время. Работодатель при этом обязан обеспечить оборудование помещений для обогревания и отдыха работников.</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Все указанные перерывы устанавливаются правилами внутреннего трудового распорядка организации (или коллективным договором).</w:t>
      </w:r>
      <w:r w:rsidR="00293B05">
        <w:rPr>
          <w:rStyle w:val="aa"/>
          <w:rFonts w:ascii="Times New Roman" w:hAnsi="Times New Roman" w:cs="Times New Roman"/>
          <w:sz w:val="28"/>
          <w:szCs w:val="28"/>
        </w:rPr>
        <w:footnoteReference w:id="1"/>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2. Ежедневный (междусменный) отдых</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Продолжительность ежедневного непрерывного отдыха по общему правилу должна быть не менее двойной продолжительности рабочего дня перед отдыхом. Исключение из указанного правила допускается для лиц, работающих вахтовым методом, водителей автомобилей, плавсостава судов морского флота (не менее 12 часов).</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3. Выходные дни (еженедельный непрерывный отдых)</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Продолжительность еженедельного непрерывного отдыха должна быть не менее 42 часов.</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Исчисление продолжительности еженедельного непрерывного отдыха производится с момента окончания рабочей смены накануне выходного дня и до начала работы на следующий (после выходного) день.</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При суммированном учете рабочего времени продолжительность еженедельного непрерывного отдыха должна быть соблюдена лишь за учетный период.</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 пятидневной рабочей неделе работникам предоставляются два выходных дня в неделю, а при шестидневной рабочей неделе – один выходной день.</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Предоставление выходных дней в неделю является обязательным для работодателя. Общим выходным днем считается воскресенье. По общему правилу при пятидневной рабочей неделе выходными являются суббота и воскресенье, при шестидневной неделе – воскресенье.</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 совпадении выходного и праздничного дней выходной день переносится на следующий после праздничного рабочего дня.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Для лиц, работающих по шестидневной рабочей неделе или другим режимам, субботние дни, совпадающие с праздничными, являются рабочими. Перенос выходных дней не производится.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Статья 262 ТК РФ предусматривает право одного из родителей детей-инвалидов до 18 лет (или лиц, их заменяющих) на предоставление четырех дополнительных оплачиваемых выходных дней в месяц, которые могут быть использованы одним из названных лиц либо разделены ими между собой по своему усмотрению.</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Женщинам, работающим в сельской местности, предоставляется по их желанию один дополнительный выходной день в месяц без сохранения заработной платы.</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Общим выходным днем является воскресенье. Второй выходной день при пятидневной рабочей неделе, если он не определен законодательством, устанавливается правилами внутреннего распорядка. Оба выходных дня предоставляются, как правило, подряд.</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При пятидневной рабочей неделе вторым выходным днем является, как правило, суббота. Если по условиям производства предоставление второго выходного дня в субботу невозможно, то в соответствии с графиками сменности и правилами внутреннего трудового распорядка устанавливается другой день еженедельного отдыха.</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 организациях, приостановка работы в которых невозможна по производственно-техническим условиям или вследствие необходимости постоянного непрерывного обслуживания населения, а также на других предприятиях с непрерывным производством выходные дни предоставляются в различные дни недели поочередно каждой группе работников.</w:t>
      </w:r>
      <w:r w:rsidR="00293B05">
        <w:rPr>
          <w:rStyle w:val="aa"/>
          <w:rFonts w:ascii="Times New Roman" w:hAnsi="Times New Roman" w:cs="Times New Roman"/>
          <w:sz w:val="28"/>
          <w:szCs w:val="28"/>
        </w:rPr>
        <w:footnoteReference w:id="2"/>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b/>
          <w:bCs/>
          <w:sz w:val="28"/>
          <w:szCs w:val="28"/>
        </w:rPr>
        <w:t>4. Нерабочие праздничные дни</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 соответствии со ст. 112 ТК РФ нерабочими праздничными днями в Российской Федерации являются:</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1-5 января – новогодние каникулы.</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7 января – Рождество Христово.</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23 февраля – День защитника Отечества.</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8 марта – Международный женский день.</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1 мая – праздник Весны и Труда.</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9 мая – День Победы.</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12 июня – День России.</w:t>
      </w:r>
    </w:p>
    <w:p w:rsidR="002B2180" w:rsidRPr="002B2180" w:rsidRDefault="002B2180" w:rsidP="002B2180">
      <w:pPr>
        <w:numPr>
          <w:ilvl w:val="0"/>
          <w:numId w:val="3"/>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4 ноября – День народного единства.</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 случае совпадения выходного и нерабочего праздничного дней выходной день переносится на следующий после праздничного рабочего дня.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При этом заработная плата в связи с нерабочими праздничными днями для лиц, получающих должностной оклад, не уменьшается. Для остальных категорий работников предусмотрено дополнительное вознаграждение, размер которого устанавливается локальными нормативными актами организации или трудовым договором.</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По общему правилу работа в выходные и нерабочие праздничные дни запрещается, за исключением случаев, предусмотренных ТК РФ.</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Закон устанавливает, что привлечение работников к работе в выходные и нерабочие праздничные дни без их согласия допускается лишь в следующих случаях:</w:t>
      </w:r>
    </w:p>
    <w:p w:rsidR="002B2180" w:rsidRPr="002B2180" w:rsidRDefault="002B2180" w:rsidP="002B2180">
      <w:pPr>
        <w:numPr>
          <w:ilvl w:val="0"/>
          <w:numId w:val="4"/>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B2180" w:rsidRPr="002B2180" w:rsidRDefault="002B2180" w:rsidP="002B2180">
      <w:pPr>
        <w:numPr>
          <w:ilvl w:val="0"/>
          <w:numId w:val="4"/>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Для предотвращения несчастных случаев, уничтожения или порчи имущества работодателя, государственного или муниципального имущества.</w:t>
      </w:r>
    </w:p>
    <w:p w:rsidR="002B2180" w:rsidRPr="002B2180" w:rsidRDefault="002B2180" w:rsidP="002B2180">
      <w:pPr>
        <w:numPr>
          <w:ilvl w:val="0"/>
          <w:numId w:val="4"/>
        </w:num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lastRenderedPageBreak/>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2B2180">
        <w:rPr>
          <w:rFonts w:ascii="Times New Roman" w:hAnsi="Times New Roman" w:cs="Times New Roman"/>
          <w:sz w:val="28"/>
          <w:szCs w:val="28"/>
        </w:rPr>
        <w:t>видеосъемочных</w:t>
      </w:r>
      <w:proofErr w:type="spellEnd"/>
      <w:r w:rsidRPr="002B2180">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РФ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Привлечение к работе в выходные и нерабочие праздничные дни инвалидов, женщин, имеющих детей в возрасте до 3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3 лет, должны быть под роспись ознакомлены со своим правом отказаться от работы в выходной или нерабочий праздничный день.</w:t>
      </w:r>
    </w:p>
    <w:p w:rsidR="002B2180" w:rsidRP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2B2180" w:rsidRDefault="002B2180" w:rsidP="00293B05">
      <w:pPr>
        <w:pStyle w:val="2"/>
      </w:pPr>
      <w:bookmarkStart w:id="4" w:name="_Toc8660718"/>
      <w:r w:rsidRPr="002B2180">
        <w:lastRenderedPageBreak/>
        <w:t>Задание</w:t>
      </w:r>
      <w:bookmarkEnd w:id="4"/>
    </w:p>
    <w:p w:rsidR="00293B05" w:rsidRPr="00293B05" w:rsidRDefault="00293B05" w:rsidP="00293B05"/>
    <w:p w:rsidR="002B2180" w:rsidRDefault="002B2180" w:rsidP="002B2180">
      <w:pPr>
        <w:spacing w:line="360" w:lineRule="auto"/>
        <w:jc w:val="both"/>
        <w:rPr>
          <w:rFonts w:ascii="Times New Roman" w:hAnsi="Times New Roman" w:cs="Times New Roman"/>
          <w:sz w:val="28"/>
          <w:szCs w:val="28"/>
        </w:rPr>
      </w:pPr>
      <w:r w:rsidRPr="002B2180">
        <w:rPr>
          <w:rFonts w:ascii="Times New Roman" w:hAnsi="Times New Roman" w:cs="Times New Roman"/>
          <w:sz w:val="28"/>
          <w:szCs w:val="28"/>
        </w:rPr>
        <w:t>Составьте схему отграничение трудового права от смежных отраслей, регулирующих отношения, связанные с трудом (административного, семейного, гражданского права и социального обеспечения).</w:t>
      </w:r>
    </w:p>
    <w:p w:rsidR="002B2180" w:rsidRPr="002B2180" w:rsidRDefault="002B2180" w:rsidP="002B2180">
      <w:pPr>
        <w:spacing w:line="360" w:lineRule="auto"/>
        <w:jc w:val="center"/>
        <w:rPr>
          <w:rFonts w:ascii="Times New Roman" w:hAnsi="Times New Roman" w:cs="Times New Roman"/>
          <w:b/>
          <w:sz w:val="28"/>
          <w:szCs w:val="28"/>
        </w:rPr>
      </w:pPr>
      <w:r w:rsidRPr="002B2180">
        <w:rPr>
          <w:rFonts w:ascii="Times New Roman" w:hAnsi="Times New Roman" w:cs="Times New Roman"/>
          <w:b/>
          <w:sz w:val="28"/>
          <w:szCs w:val="28"/>
        </w:rPr>
        <w:t>Схема ограничения</w:t>
      </w:r>
    </w:p>
    <w:p w:rsidR="002B2180" w:rsidRDefault="001E2491"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996315</wp:posOffset>
                </wp:positionH>
                <wp:positionV relativeFrom="paragraph">
                  <wp:posOffset>184785</wp:posOffset>
                </wp:positionV>
                <wp:extent cx="4276725" cy="619125"/>
                <wp:effectExtent l="0" t="0" r="28575" b="28575"/>
                <wp:wrapNone/>
                <wp:docPr id="5" name="Надпись 5"/>
                <wp:cNvGraphicFramePr/>
                <a:graphic xmlns:a="http://schemas.openxmlformats.org/drawingml/2006/main">
                  <a:graphicData uri="http://schemas.microsoft.com/office/word/2010/wordprocessingShape">
                    <wps:wsp>
                      <wps:cNvSpPr txBox="1"/>
                      <wps:spPr>
                        <a:xfrm>
                          <a:off x="0" y="0"/>
                          <a:ext cx="4276725" cy="619125"/>
                        </a:xfrm>
                        <a:prstGeom prst="rect">
                          <a:avLst/>
                        </a:prstGeom>
                        <a:ln/>
                      </wps:spPr>
                      <wps:style>
                        <a:lnRef idx="2">
                          <a:schemeClr val="dk1"/>
                        </a:lnRef>
                        <a:fillRef idx="1">
                          <a:schemeClr val="lt1"/>
                        </a:fillRef>
                        <a:effectRef idx="0">
                          <a:schemeClr val="dk1"/>
                        </a:effectRef>
                        <a:fontRef idx="minor">
                          <a:schemeClr val="dk1"/>
                        </a:fontRef>
                      </wps:style>
                      <wps:txbx>
                        <w:txbxContent>
                          <w:p w:rsidR="001E2491" w:rsidRPr="002408E6" w:rsidRDefault="002408E6" w:rsidP="002408E6">
                            <w:pPr>
                              <w:jc w:val="center"/>
                              <w:rPr>
                                <w:rFonts w:ascii="Times New Roman" w:hAnsi="Times New Roman" w:cs="Times New Roman"/>
                                <w:sz w:val="28"/>
                                <w:szCs w:val="28"/>
                              </w:rPr>
                            </w:pPr>
                            <w:r w:rsidRPr="002408E6">
                              <w:rPr>
                                <w:rFonts w:ascii="Times New Roman" w:hAnsi="Times New Roman" w:cs="Times New Roman"/>
                                <w:sz w:val="28"/>
                                <w:szCs w:val="28"/>
                              </w:rPr>
                              <w:t>Отграничение трудового права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78.45pt;margin-top:14.55pt;width:336.7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" fillcolor="white [3201]" strokecolor="black [3200]" strokeweight="1pt">
                <v:textbox>
                  <w:txbxContent>
                    <w:p w:rsidR="001E2491" w:rsidRPr="002408E6" w:rsidRDefault="002408E6" w:rsidP="002408E6">
                      <w:pPr>
                        <w:jc w:val="center"/>
                        <w:rPr>
                          <w:rFonts w:ascii="Times New Roman" w:hAnsi="Times New Roman" w:cs="Times New Roman"/>
                          <w:sz w:val="28"/>
                          <w:szCs w:val="28"/>
                        </w:rPr>
                      </w:pPr>
                      <w:r w:rsidRPr="002408E6">
                        <w:rPr>
                          <w:rFonts w:ascii="Times New Roman" w:hAnsi="Times New Roman" w:cs="Times New Roman"/>
                          <w:sz w:val="28"/>
                          <w:szCs w:val="28"/>
                        </w:rPr>
                        <w:t>Отграничение трудового права</w:t>
                      </w:r>
                    </w:p>
                  </w:txbxContent>
                </v:textbox>
              </v:shape>
            </w:pict>
          </mc:Fallback>
        </mc:AlternateContent>
      </w:r>
    </w:p>
    <w:p w:rsidR="001E2491" w:rsidRDefault="00293B05"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5015865</wp:posOffset>
                </wp:positionH>
                <wp:positionV relativeFrom="paragraph">
                  <wp:posOffset>357505</wp:posOffset>
                </wp:positionV>
                <wp:extent cx="9525" cy="542925"/>
                <wp:effectExtent l="38100" t="0" r="66675" b="47625"/>
                <wp:wrapNone/>
                <wp:docPr id="8" name="Прямая со стрелкой 8"/>
                <wp:cNvGraphicFramePr/>
                <a:graphic xmlns:a="http://schemas.openxmlformats.org/drawingml/2006/main">
                  <a:graphicData uri="http://schemas.microsoft.com/office/word/2010/wordprocessingShape">
                    <wps:wsp>
                      <wps:cNvCnPr/>
                      <wps:spPr>
                        <a:xfrm>
                          <a:off x="0" y="0"/>
                          <a:ext cx="9525"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1F0364" id="_x0000_t32" coordsize="21600,21600" o:spt="32" o:oned="t" path="m,l21600,21600e" filled="f">
                <v:path arrowok="t" fillok="f" o:connecttype="none"/>
                <o:lock v:ext="edit" shapetype="t"/>
              </v:shapetype>
              <v:shape id="Прямая со стрелкой 8" o:spid="_x0000_s1026" type="#_x0000_t32" style="position:absolute;margin-left:394.95pt;margin-top:28.15pt;width:.75pt;height:42.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" strokecolor="black [3200]" strokeweight=".5pt">
                <v:stroke endarrow="block" joinstyle="miter"/>
              </v:shape>
            </w:pict>
          </mc:Fallback>
        </mc:AlternateContent>
      </w:r>
    </w:p>
    <w:p w:rsidR="001E2491" w:rsidRDefault="001E2491"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2148840</wp:posOffset>
                </wp:positionH>
                <wp:positionV relativeFrom="paragraph">
                  <wp:posOffset>63500</wp:posOffset>
                </wp:positionV>
                <wp:extent cx="9525" cy="647700"/>
                <wp:effectExtent l="38100" t="0" r="66675" b="57150"/>
                <wp:wrapNone/>
                <wp:docPr id="7" name="Прямая со стрелкой 7"/>
                <wp:cNvGraphicFramePr/>
                <a:graphic xmlns:a="http://schemas.openxmlformats.org/drawingml/2006/main">
                  <a:graphicData uri="http://schemas.microsoft.com/office/word/2010/wordprocessingShape">
                    <wps:wsp>
                      <wps:cNvCnPr/>
                      <wps:spPr>
                        <a:xfrm>
                          <a:off x="0" y="0"/>
                          <a:ext cx="952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21E183" id="Прямая со стрелкой 7" o:spid="_x0000_s1026" type="#_x0000_t32" style="position:absolute;margin-left:169.2pt;margin-top:5pt;width:.75pt;height:5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348615</wp:posOffset>
                </wp:positionH>
                <wp:positionV relativeFrom="paragraph">
                  <wp:posOffset>139700</wp:posOffset>
                </wp:positionV>
                <wp:extent cx="552450" cy="352425"/>
                <wp:effectExtent l="38100" t="0" r="19050" b="47625"/>
                <wp:wrapNone/>
                <wp:docPr id="6" name="Прямая со стрелкой 6"/>
                <wp:cNvGraphicFramePr/>
                <a:graphic xmlns:a="http://schemas.openxmlformats.org/drawingml/2006/main">
                  <a:graphicData uri="http://schemas.microsoft.com/office/word/2010/wordprocessingShape">
                    <wps:wsp>
                      <wps:cNvCnPr/>
                      <wps:spPr>
                        <a:xfrm flipH="1">
                          <a:off x="0" y="0"/>
                          <a:ext cx="5524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DC4482" id="Прямая со стрелкой 6" o:spid="_x0000_s1026" type="#_x0000_t32" style="position:absolute;margin-left:27.45pt;margin-top:11pt;width:43.5pt;height:2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" strokecolor="black [3200]" strokeweight=".5pt">
                <v:stroke endarrow="block" joinstyle="miter"/>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-489584</wp:posOffset>
                </wp:positionH>
                <wp:positionV relativeFrom="paragraph">
                  <wp:posOffset>198120</wp:posOffset>
                </wp:positionV>
                <wp:extent cx="1771650" cy="333375"/>
                <wp:effectExtent l="0" t="0" r="19050" b="28575"/>
                <wp:wrapNone/>
                <wp:docPr id="10" name="Надпись 10"/>
                <wp:cNvGraphicFramePr/>
                <a:graphic xmlns:a="http://schemas.openxmlformats.org/drawingml/2006/main">
                  <a:graphicData uri="http://schemas.microsoft.com/office/word/2010/wordprocessingShape">
                    <wps:wsp>
                      <wps:cNvSpPr txBox="1"/>
                      <wps:spPr>
                        <a:xfrm>
                          <a:off x="0" y="0"/>
                          <a:ext cx="1771650" cy="333375"/>
                        </a:xfrm>
                        <a:prstGeom prst="rect">
                          <a:avLst/>
                        </a:prstGeom>
                        <a:ln/>
                      </wps:spPr>
                      <wps:style>
                        <a:lnRef idx="2">
                          <a:schemeClr val="dk1"/>
                        </a:lnRef>
                        <a:fillRef idx="1">
                          <a:schemeClr val="lt1"/>
                        </a:fillRef>
                        <a:effectRef idx="0">
                          <a:schemeClr val="dk1"/>
                        </a:effectRef>
                        <a:fontRef idx="minor">
                          <a:schemeClr val="dk1"/>
                        </a:fontRef>
                      </wps:style>
                      <wps:txbx>
                        <w:txbxContent>
                          <w:p w:rsidR="002408E6" w:rsidRDefault="002408E6">
                            <w:r>
                              <w:t xml:space="preserve">Административно право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0" o:spid="_x0000_s1027" type="#_x0000_t202" style="position:absolute;left:0;text-align:left;margin-left:-38.55pt;margin-top:15.6pt;width:139.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" fillcolor="white [3201]" strokecolor="black [3200]" strokeweight="1pt">
                <v:textbox>
                  <w:txbxContent>
                    <w:p w:rsidR="002408E6" w:rsidRDefault="002408E6">
                      <w:r>
                        <w:t xml:space="preserve">Административно право </w:t>
                      </w:r>
                    </w:p>
                  </w:txbxContent>
                </v:textbox>
              </v:shape>
            </w:pict>
          </mc:Fallback>
        </mc:AlternateContent>
      </w:r>
    </w:p>
    <w:p w:rsidR="001E2491" w:rsidRDefault="00293B05"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4120515</wp:posOffset>
                </wp:positionH>
                <wp:positionV relativeFrom="paragraph">
                  <wp:posOffset>218440</wp:posOffset>
                </wp:positionV>
                <wp:extent cx="1409700" cy="485775"/>
                <wp:effectExtent l="0" t="0" r="19050" b="28575"/>
                <wp:wrapNone/>
                <wp:docPr id="13" name="Надпись 13"/>
                <wp:cNvGraphicFramePr/>
                <a:graphic xmlns:a="http://schemas.openxmlformats.org/drawingml/2006/main">
                  <a:graphicData uri="http://schemas.microsoft.com/office/word/2010/wordprocessingShape">
                    <wps:wsp>
                      <wps:cNvSpPr txBox="1"/>
                      <wps:spPr>
                        <a:xfrm>
                          <a:off x="0" y="0"/>
                          <a:ext cx="14097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08E6" w:rsidRDefault="002408E6">
                            <w:r>
                              <w:t xml:space="preserve">Социальное обеспечение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13" o:spid="_x0000_s1028" type="#_x0000_t202" style="position:absolute;left:0;text-align:left;margin-left:324.45pt;margin-top:17.2pt;width:111pt;height:3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" fillcolor="white [3201]" strokeweight=".5pt">
                <v:textbox>
                  <w:txbxContent>
                    <w:p w:rsidR="002408E6" w:rsidRDefault="002408E6">
                      <w:r>
                        <w:t xml:space="preserve">Социальное обеспечение </w:t>
                      </w:r>
                    </w:p>
                  </w:txbxContent>
                </v:textbox>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186690</wp:posOffset>
                </wp:positionH>
                <wp:positionV relativeFrom="paragraph">
                  <wp:posOffset>189865</wp:posOffset>
                </wp:positionV>
                <wp:extent cx="9525" cy="342900"/>
                <wp:effectExtent l="76200" t="0" r="66675" b="571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71AA21" id="Прямая со стрелкой 14" o:spid="_x0000_s1026" type="#_x0000_t32" style="position:absolute;margin-left:14.7pt;margin-top:14.95pt;width:.75pt;height:27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" strokecolor="black [3200]" strokeweight=".5pt">
                <v:stroke endarrow="block" joinstyle="miter"/>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1567815</wp:posOffset>
                </wp:positionH>
                <wp:positionV relativeFrom="paragraph">
                  <wp:posOffset>46990</wp:posOffset>
                </wp:positionV>
                <wp:extent cx="1428750" cy="361950"/>
                <wp:effectExtent l="0" t="0" r="19050" b="19050"/>
                <wp:wrapNone/>
                <wp:docPr id="11" name="Надпись 11"/>
                <wp:cNvGraphicFramePr/>
                <a:graphic xmlns:a="http://schemas.openxmlformats.org/drawingml/2006/main">
                  <a:graphicData uri="http://schemas.microsoft.com/office/word/2010/wordprocessingShape">
                    <wps:wsp>
                      <wps:cNvSpPr txBox="1"/>
                      <wps:spPr>
                        <a:xfrm>
                          <a:off x="0" y="0"/>
                          <a:ext cx="1428750" cy="361950"/>
                        </a:xfrm>
                        <a:prstGeom prst="rect">
                          <a:avLst/>
                        </a:prstGeom>
                        <a:ln/>
                      </wps:spPr>
                      <wps:style>
                        <a:lnRef idx="2">
                          <a:schemeClr val="dk1"/>
                        </a:lnRef>
                        <a:fillRef idx="1">
                          <a:schemeClr val="lt1"/>
                        </a:fillRef>
                        <a:effectRef idx="0">
                          <a:schemeClr val="dk1"/>
                        </a:effectRef>
                        <a:fontRef idx="minor">
                          <a:schemeClr val="dk1"/>
                        </a:fontRef>
                      </wps:style>
                      <wps:txbx>
                        <w:txbxContent>
                          <w:p w:rsidR="002408E6" w:rsidRDefault="002408E6">
                            <w:r>
                              <w:t xml:space="preserve">Гражданское право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11" o:spid="_x0000_s1029" type="#_x0000_t202" style="position:absolute;left:0;text-align:left;margin-left:123.45pt;margin-top:3.7pt;width:112.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" fillcolor="white [3201]" strokecolor="black [3200]" strokeweight="1pt">
                <v:textbox>
                  <w:txbxContent>
                    <w:p w:rsidR="002408E6" w:rsidRDefault="002408E6">
                      <w:r>
                        <w:t xml:space="preserve">Гражданское право </w:t>
                      </w:r>
                    </w:p>
                  </w:txbxContent>
                </v:textbox>
              </v:shape>
            </w:pict>
          </mc:Fallback>
        </mc:AlternateContent>
      </w:r>
    </w:p>
    <w:p w:rsidR="001E2491" w:rsidRDefault="00293B05"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5082540</wp:posOffset>
                </wp:positionH>
                <wp:positionV relativeFrom="paragraph">
                  <wp:posOffset>305435</wp:posOffset>
                </wp:positionV>
                <wp:extent cx="9525" cy="333375"/>
                <wp:effectExtent l="38100" t="0" r="66675" b="47625"/>
                <wp:wrapNone/>
                <wp:docPr id="16" name="Прямая со стрелкой 16"/>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722BE" id="Прямая со стрелкой 16" o:spid="_x0000_s1026" type="#_x0000_t32" style="position:absolute;margin-left:400.2pt;margin-top:24.05pt;width:.75pt;height:26.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" strokecolor="black [3200]" strokeweight=".5pt">
                <v:stroke endarrow="block" joinstyle="miter"/>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-1022985</wp:posOffset>
                </wp:positionH>
                <wp:positionV relativeFrom="paragraph">
                  <wp:posOffset>305435</wp:posOffset>
                </wp:positionV>
                <wp:extent cx="2228850" cy="3409950"/>
                <wp:effectExtent l="0" t="0" r="19050" b="19050"/>
                <wp:wrapNone/>
                <wp:docPr id="17" name="Надпись 17"/>
                <wp:cNvGraphicFramePr/>
                <a:graphic xmlns:a="http://schemas.openxmlformats.org/drawingml/2006/main">
                  <a:graphicData uri="http://schemas.microsoft.com/office/word/2010/wordprocessingShape">
                    <wps:wsp>
                      <wps:cNvSpPr txBox="1"/>
                      <wps:spPr>
                        <a:xfrm>
                          <a:off x="0" y="0"/>
                          <a:ext cx="2228850" cy="3409950"/>
                        </a:xfrm>
                        <a:prstGeom prst="rect">
                          <a:avLst/>
                        </a:prstGeom>
                        <a:ln/>
                      </wps:spPr>
                      <wps:style>
                        <a:lnRef idx="2">
                          <a:schemeClr val="dk1"/>
                        </a:lnRef>
                        <a:fillRef idx="1">
                          <a:schemeClr val="lt1"/>
                        </a:fillRef>
                        <a:effectRef idx="0">
                          <a:schemeClr val="dk1"/>
                        </a:effectRef>
                        <a:fontRef idx="minor">
                          <a:schemeClr val="dk1"/>
                        </a:fontRef>
                      </wps:style>
                      <wps:txbx>
                        <w:txbxContent>
                          <w:p w:rsidR="002408E6" w:rsidRDefault="002408E6">
                            <w:r w:rsidRPr="002408E6">
                              <w:t> регулируются отношения, связанные с работой по контрактам с военнослужащими, таможенных органов, вневедомственной охраны, налоговой полиции и т.п., а также частично отношения по осуществлению государственной гражданской службы. Регулирование этих отношений отраслью АП вызвано тем, что превалирующими в них являются властно-подчинительные начала. Предмет АП образуют отношения по осуществлению исполнительно-распорядительной деятельности гос. органов.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30" type="#_x0000_t202" style="position:absolute;left:0;text-align:left;margin-left:-80.55pt;margin-top:24.05pt;width:175.5pt;height:2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" fillcolor="white [3201]" strokecolor="black [3200]" strokeweight="1pt">
                <v:textbox>
                  <w:txbxContent>
                    <w:p w:rsidR="002408E6" w:rsidRDefault="002408E6">
                      <w:r w:rsidRPr="002408E6">
                        <w:t> регулируются отношения, связанные с работой по контрактам с военнослужащими, таможенных органов, вневедомственной охраны, налоговой полиции и т.п., а также частично отношения по осуществлению государственной гражданской службы. Регулирование этих отношений отраслью АП вызвано тем, что превалирующими в них являются властно-подчинительные начала. Предмет АП образуют отношения по осуществлению исполнительно-распорядительной деятельности гос. органов.</w:t>
                      </w:r>
                    </w:p>
                  </w:txbxContent>
                </v:textbox>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2205990</wp:posOffset>
                </wp:positionH>
                <wp:positionV relativeFrom="paragraph">
                  <wp:posOffset>124460</wp:posOffset>
                </wp:positionV>
                <wp:extent cx="9525" cy="361950"/>
                <wp:effectExtent l="38100" t="0" r="66675" b="57150"/>
                <wp:wrapNone/>
                <wp:docPr id="15" name="Прямая со стрелкой 15"/>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441B3D" id="Прямая со стрелкой 15" o:spid="_x0000_s1026" type="#_x0000_t32" style="position:absolute;margin-left:173.7pt;margin-top:9.8pt;width:.75pt;height: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" strokecolor="black [3200]" strokeweight=".5pt">
                <v:stroke endarrow="block" joinstyle="miter"/>
              </v:shape>
            </w:pict>
          </mc:Fallback>
        </mc:AlternateContent>
      </w:r>
    </w:p>
    <w:p w:rsidR="001E2491" w:rsidRDefault="00293B05" w:rsidP="002B218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1282065</wp:posOffset>
                </wp:positionH>
                <wp:positionV relativeFrom="paragraph">
                  <wp:posOffset>229235</wp:posOffset>
                </wp:positionV>
                <wp:extent cx="1914525" cy="3076575"/>
                <wp:effectExtent l="0" t="0" r="28575" b="28575"/>
                <wp:wrapNone/>
                <wp:docPr id="18" name="Надпись 18"/>
                <wp:cNvGraphicFramePr/>
                <a:graphic xmlns:a="http://schemas.openxmlformats.org/drawingml/2006/main">
                  <a:graphicData uri="http://schemas.microsoft.com/office/word/2010/wordprocessingShape">
                    <wps:wsp>
                      <wps:cNvSpPr txBox="1"/>
                      <wps:spPr>
                        <a:xfrm>
                          <a:off x="0" y="0"/>
                          <a:ext cx="1914525" cy="3076575"/>
                        </a:xfrm>
                        <a:prstGeom prst="rect">
                          <a:avLst/>
                        </a:prstGeom>
                        <a:ln/>
                      </wps:spPr>
                      <wps:style>
                        <a:lnRef idx="2">
                          <a:schemeClr val="dk1"/>
                        </a:lnRef>
                        <a:fillRef idx="1">
                          <a:schemeClr val="lt1"/>
                        </a:fillRef>
                        <a:effectRef idx="0">
                          <a:schemeClr val="dk1"/>
                        </a:effectRef>
                        <a:fontRef idx="minor">
                          <a:schemeClr val="dk1"/>
                        </a:fontRef>
                      </wps:style>
                      <wps:txbx>
                        <w:txbxContent>
                          <w:p w:rsidR="002408E6" w:rsidRDefault="002408E6">
                            <w:r w:rsidRPr="002408E6">
                              <w:t> выступают имущественные (связанные с принадлежностью имущества определенным лицам или с переходом имущества от одного лица к другому) и личные неимущественные отношения, а также результат труда – овеществленный труд (сам процесс труда регулируется лишь в той степени, в какой это сочтут нужным стороны договора)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8" o:spid="_x0000_s1031" type="#_x0000_t202" style="position:absolute;left:0;text-align:left;margin-left:100.95pt;margin-top:18.05pt;width:150.75pt;height:24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" fillcolor="white [3201]" strokecolor="black [3200]" strokeweight="1pt">
                <v:textbox>
                  <w:txbxContent>
                    <w:p w:rsidR="002408E6" w:rsidRDefault="002408E6">
                      <w:r w:rsidRPr="002408E6">
                        <w:t> выступают имущественные (связанные с принадлежностью имущества определенным лицам или с переходом имущества от одного лица к другому) и личные неимущественные отношения, а также результат труда – овеществленный труд (сам процесс труда регулируется лишь в той степени, в какой это сочтут нужным стороны договора)</w:t>
                      </w:r>
                    </w:p>
                  </w:txbxContent>
                </v:textbox>
              </v:shape>
            </w:pict>
          </mc:Fallback>
        </mc:AlternateContent>
      </w:r>
      <w:r w:rsidR="002408E6">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3625215</wp:posOffset>
                </wp:positionH>
                <wp:positionV relativeFrom="paragraph">
                  <wp:posOffset>278130</wp:posOffset>
                </wp:positionV>
                <wp:extent cx="1838325" cy="3448050"/>
                <wp:effectExtent l="0" t="0" r="28575" b="19050"/>
                <wp:wrapNone/>
                <wp:docPr id="19" name="Надпись 19"/>
                <wp:cNvGraphicFramePr/>
                <a:graphic xmlns:a="http://schemas.openxmlformats.org/drawingml/2006/main">
                  <a:graphicData uri="http://schemas.microsoft.com/office/word/2010/wordprocessingShape">
                    <wps:wsp>
                      <wps:cNvSpPr txBox="1"/>
                      <wps:spPr>
                        <a:xfrm>
                          <a:off x="0" y="0"/>
                          <a:ext cx="1838325" cy="3448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08E6" w:rsidRDefault="002408E6">
                            <w:r w:rsidRPr="002408E6">
                              <w:t>обеспечения составляет общественные отношения, складывающиеся при реализации гражданами права на материальное обеспечение в старости, в случае болезни, утраты трудоспособности и потери кормильца, а не права на труд. Они возникают между гражданами и специализированными гос. органами по поводу предоставления отдельных видов обеспечения из различных гос. фондов.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9" o:spid="_x0000_s1032" type="#_x0000_t202" style="position:absolute;left:0;text-align:left;margin-left:285.45pt;margin-top:21.9pt;width:144.75pt;height:2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" fillcolor="white [3201]" strokeweight=".5pt">
                <v:textbox>
                  <w:txbxContent>
                    <w:p w:rsidR="002408E6" w:rsidRDefault="002408E6">
                      <w:r w:rsidRPr="002408E6">
                        <w:t>обеспечения составляет общественные отношения, складывающиеся при реализации гражданами права на материальное обеспечение в старости, в случае болезни, утраты трудоспособности и потери кормильца, а не права на труд. Они возникают между гражданами и специализированными гос. органами по поводу предоставления отдельных видов обеспечения из различных гос. фондов.</w:t>
                      </w:r>
                    </w:p>
                  </w:txbxContent>
                </v:textbox>
              </v:shape>
            </w:pict>
          </mc:Fallback>
        </mc:AlternateContent>
      </w: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1E2491" w:rsidRDefault="001E2491" w:rsidP="002B2180">
      <w:pPr>
        <w:spacing w:line="360" w:lineRule="auto"/>
        <w:jc w:val="both"/>
        <w:rPr>
          <w:rFonts w:ascii="Times New Roman" w:hAnsi="Times New Roman" w:cs="Times New Roman"/>
          <w:sz w:val="28"/>
          <w:szCs w:val="28"/>
        </w:rPr>
      </w:pPr>
    </w:p>
    <w:p w:rsidR="00293B05" w:rsidRDefault="00293B05" w:rsidP="00293B05">
      <w:pPr>
        <w:spacing w:line="360" w:lineRule="auto"/>
        <w:rPr>
          <w:rFonts w:ascii="Times New Roman" w:hAnsi="Times New Roman" w:cs="Times New Roman"/>
          <w:b/>
          <w:sz w:val="28"/>
          <w:szCs w:val="28"/>
        </w:rPr>
      </w:pPr>
    </w:p>
    <w:p w:rsidR="00293B05" w:rsidRDefault="00293B05" w:rsidP="001E2491">
      <w:pPr>
        <w:spacing w:line="360" w:lineRule="auto"/>
        <w:jc w:val="center"/>
        <w:rPr>
          <w:rFonts w:ascii="Times New Roman" w:hAnsi="Times New Roman" w:cs="Times New Roman"/>
          <w:b/>
          <w:sz w:val="28"/>
          <w:szCs w:val="28"/>
        </w:rPr>
      </w:pPr>
    </w:p>
    <w:p w:rsidR="00293B05" w:rsidRDefault="00293B05" w:rsidP="001E2491">
      <w:pPr>
        <w:spacing w:line="360" w:lineRule="auto"/>
        <w:jc w:val="center"/>
        <w:rPr>
          <w:rFonts w:ascii="Times New Roman" w:hAnsi="Times New Roman" w:cs="Times New Roman"/>
          <w:b/>
          <w:sz w:val="28"/>
          <w:szCs w:val="28"/>
        </w:rPr>
      </w:pPr>
    </w:p>
    <w:p w:rsidR="001E2491" w:rsidRDefault="001E2491" w:rsidP="00293B05">
      <w:pPr>
        <w:pStyle w:val="1"/>
      </w:pPr>
      <w:bookmarkStart w:id="5" w:name="_Toc8660719"/>
      <w:r w:rsidRPr="001E2491">
        <w:lastRenderedPageBreak/>
        <w:t>Контрольная работа № 2</w:t>
      </w:r>
      <w:bookmarkEnd w:id="5"/>
    </w:p>
    <w:p w:rsidR="001E2491" w:rsidRDefault="001E2491" w:rsidP="00293B05">
      <w:pPr>
        <w:pStyle w:val="2"/>
      </w:pPr>
      <w:bookmarkStart w:id="6" w:name="_Toc8660720"/>
      <w:r w:rsidRPr="001E2491">
        <w:t>Теоретические вопросы</w:t>
      </w:r>
      <w:bookmarkEnd w:id="6"/>
    </w:p>
    <w:p w:rsidR="001E2491" w:rsidRDefault="001E2491" w:rsidP="00293B05">
      <w:pPr>
        <w:pStyle w:val="2"/>
      </w:pPr>
      <w:bookmarkStart w:id="7" w:name="_Toc8660721"/>
      <w:r w:rsidRPr="001E2491">
        <w:t>1. Материальная ответственность работодателя перед работником.</w:t>
      </w:r>
      <w:bookmarkEnd w:id="7"/>
    </w:p>
    <w:p w:rsidR="00293B05" w:rsidRPr="00293B05" w:rsidRDefault="00293B05" w:rsidP="00293B05"/>
    <w:p w:rsidR="001E2491" w:rsidRPr="001E2491" w:rsidRDefault="001E2491" w:rsidP="001E2491">
      <w:pPr>
        <w:spacing w:line="360" w:lineRule="auto"/>
        <w:jc w:val="both"/>
        <w:rPr>
          <w:rFonts w:ascii="Times New Roman" w:hAnsi="Times New Roman" w:cs="Times New Roman"/>
          <w:sz w:val="28"/>
          <w:szCs w:val="28"/>
        </w:rPr>
      </w:pPr>
      <w:hyperlink r:id="rId8" w:tooltip="Материальная ответственность" w:history="1">
        <w:r w:rsidRPr="001E2491">
          <w:rPr>
            <w:rStyle w:val="a3"/>
            <w:rFonts w:ascii="Times New Roman" w:hAnsi="Times New Roman" w:cs="Times New Roman"/>
            <w:bCs/>
            <w:color w:val="auto"/>
            <w:sz w:val="28"/>
            <w:szCs w:val="28"/>
            <w:u w:val="none"/>
          </w:rPr>
          <w:t>Материальная ответственность</w:t>
        </w:r>
      </w:hyperlink>
      <w:r w:rsidRPr="001E2491">
        <w:rPr>
          <w:rFonts w:ascii="Times New Roman" w:hAnsi="Times New Roman" w:cs="Times New Roman"/>
          <w:bCs/>
          <w:sz w:val="28"/>
          <w:szCs w:val="28"/>
        </w:rPr>
        <w:t> работодателя</w:t>
      </w:r>
      <w:r w:rsidRPr="001E2491">
        <w:rPr>
          <w:rFonts w:ascii="Times New Roman" w:hAnsi="Times New Roman" w:cs="Times New Roman"/>
          <w:sz w:val="28"/>
          <w:szCs w:val="28"/>
        </w:rPr>
        <w:t> перед работником наступает в случаях:</w:t>
      </w:r>
    </w:p>
    <w:p w:rsidR="001E2491" w:rsidRPr="001E2491" w:rsidRDefault="001E2491" w:rsidP="001E2491">
      <w:pPr>
        <w:numPr>
          <w:ilvl w:val="0"/>
          <w:numId w:val="5"/>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причинения ущерба незаконным лишением его возможности трудиться;</w:t>
      </w:r>
    </w:p>
    <w:p w:rsidR="001E2491" w:rsidRPr="001E2491" w:rsidRDefault="001E2491" w:rsidP="001E2491">
      <w:pPr>
        <w:numPr>
          <w:ilvl w:val="0"/>
          <w:numId w:val="5"/>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причинения ущерба имуществу работника;</w:t>
      </w:r>
    </w:p>
    <w:p w:rsidR="001E2491" w:rsidRPr="001E2491" w:rsidRDefault="001E2491" w:rsidP="001E2491">
      <w:pPr>
        <w:numPr>
          <w:ilvl w:val="0"/>
          <w:numId w:val="5"/>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задержки выплаты заработной платы и других выплат, причитающихся работнику;</w:t>
      </w:r>
    </w:p>
    <w:p w:rsidR="001E2491" w:rsidRPr="001E2491" w:rsidRDefault="001E2491" w:rsidP="001E2491">
      <w:pPr>
        <w:numPr>
          <w:ilvl w:val="0"/>
          <w:numId w:val="5"/>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причинение морального вреда работнику.</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Работодатель обязан возместить работнику материальный ущерб, причиненный ему незаконным лишением его возможности трудиться (ст. 234 ТК РФ). Такая ответственность работодателя наступает, если работником не получен заработок в результате:</w:t>
      </w:r>
    </w:p>
    <w:p w:rsidR="001E2491" w:rsidRPr="001E2491" w:rsidRDefault="001E2491" w:rsidP="001E2491">
      <w:pPr>
        <w:numPr>
          <w:ilvl w:val="0"/>
          <w:numId w:val="6"/>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незаконного отстранения работника от работы, увольнения или перевода его на другую работу;</w:t>
      </w:r>
    </w:p>
    <w:p w:rsidR="001E2491" w:rsidRPr="001E2491" w:rsidRDefault="001E2491" w:rsidP="001E2491">
      <w:pPr>
        <w:numPr>
          <w:ilvl w:val="0"/>
          <w:numId w:val="6"/>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либо государственного правового инспектора труда о восстановлении работника на прежней работе;</w:t>
      </w:r>
    </w:p>
    <w:p w:rsidR="001E2491" w:rsidRDefault="001E2491" w:rsidP="001E2491">
      <w:pPr>
        <w:numPr>
          <w:ilvl w:val="0"/>
          <w:numId w:val="6"/>
        </w:num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задержки работодателем выдачи работнику трудовой книжки, внесения внес неправильной или не соответствующей законодательству формулировки причины увольнения.</w:t>
      </w:r>
    </w:p>
    <w:p w:rsidR="001E2491" w:rsidRDefault="001E2491" w:rsidP="001E2491">
      <w:pPr>
        <w:spacing w:line="360" w:lineRule="auto"/>
        <w:jc w:val="both"/>
        <w:rPr>
          <w:rFonts w:ascii="Times New Roman" w:hAnsi="Times New Roman" w:cs="Times New Roman"/>
          <w:sz w:val="28"/>
          <w:szCs w:val="28"/>
        </w:rPr>
      </w:pPr>
    </w:p>
    <w:p w:rsidR="001E2491" w:rsidRPr="001E2491" w:rsidRDefault="001E2491" w:rsidP="001E2491">
      <w:pPr>
        <w:spacing w:line="360" w:lineRule="auto"/>
        <w:jc w:val="both"/>
        <w:rPr>
          <w:rFonts w:ascii="Times New Roman" w:hAnsi="Times New Roman" w:cs="Times New Roman"/>
          <w:sz w:val="28"/>
          <w:szCs w:val="28"/>
        </w:rPr>
      </w:pP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В настоящее время наиболее распространенным основанием привлечения работодателя к ответственности является</w:t>
      </w:r>
      <w:r w:rsidRPr="001E2491">
        <w:rPr>
          <w:rFonts w:ascii="Times New Roman" w:hAnsi="Times New Roman" w:cs="Times New Roman"/>
          <w:bCs/>
          <w:sz w:val="28"/>
          <w:szCs w:val="28"/>
        </w:rPr>
        <w:t xml:space="preserve"> незаконное отстранение от работы, увольнение</w:t>
      </w:r>
      <w:r w:rsidRPr="001E2491">
        <w:rPr>
          <w:rFonts w:ascii="Times New Roman" w:hAnsi="Times New Roman" w:cs="Times New Roman"/>
          <w:sz w:val="28"/>
          <w:szCs w:val="28"/>
        </w:rPr>
        <w:t> либо</w:t>
      </w:r>
      <w:r w:rsidRPr="001E2491">
        <w:rPr>
          <w:rFonts w:ascii="Times New Roman" w:hAnsi="Times New Roman" w:cs="Times New Roman"/>
          <w:bCs/>
          <w:sz w:val="28"/>
          <w:szCs w:val="28"/>
        </w:rPr>
        <w:t> перевод на другую работу. </w:t>
      </w:r>
      <w:r w:rsidRPr="001E2491">
        <w:rPr>
          <w:rFonts w:ascii="Times New Roman" w:hAnsi="Times New Roman" w:cs="Times New Roman"/>
          <w:sz w:val="28"/>
          <w:szCs w:val="28"/>
        </w:rPr>
        <w:t>Отстранение от работы, увольнение и перевод на другую работу регулируются действующим законодательством о труде. В случаях, предусмотренных ст. 76 ТК РФ, работодатель обязан отстранить, не допускать к работе работника. Поэтому чаще всего не сам факт отстранения работника от работы является незаконным, а нарушается порядок применения такого отстранения, что и делает соответствующий приказ (распоряжение) работодателя незаконным. Так, при отстранении работника, появившегося на работе в состоянии алкогольного, наркотического или иного токсического опьянения, не проводится его медицинское обследование либо не составляется акт о появлении его в таком виде на рабочем месте.</w:t>
      </w:r>
      <w:r w:rsidR="00293B05">
        <w:rPr>
          <w:rStyle w:val="aa"/>
          <w:rFonts w:ascii="Times New Roman" w:hAnsi="Times New Roman" w:cs="Times New Roman"/>
          <w:sz w:val="28"/>
          <w:szCs w:val="28"/>
        </w:rPr>
        <w:footnoteReference w:id="3"/>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Нередки случаи перевода работника по инициативе работодателя на другую работу без его согласия, побуждения работника вместо трудового договора, заключенного на неопределенный срок, согласиться на срочный договор, или под угрозой увольнения перейти на неполный рабочий день, рабочую неделю.</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В малом бизнесе работодатели при приеме на работу нередко не оформляют трудовую книжку несмотря на требования работника.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Работодатель несет материальную ответственность за ущерб, причиненный имуществу работника. Такая ответственность наступает при повреждении, порче, утрате верхней одежды, головного убора, иных вещей, принадлежащих работнику, даже в том случае, если он не передавал их на ответственное хранение в гардероб. Они могут храниться на рабочем месте, на территории организации в специально отведенных для этого местах.</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К имуществу работника относятся и денежные ценности. В локальных нормативных правовых актах может быть предусмотрена обязанность </w:t>
      </w:r>
      <w:r w:rsidRPr="001E2491">
        <w:rPr>
          <w:rFonts w:ascii="Times New Roman" w:hAnsi="Times New Roman" w:cs="Times New Roman"/>
          <w:sz w:val="28"/>
          <w:szCs w:val="28"/>
        </w:rPr>
        <w:lastRenderedPageBreak/>
        <w:t>работодателя в случае переноса отпуска компенсировать работнику невозместимые затраты, произведенные им на приобретение билетов, бронирование мест в гостинице и т. п.</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Особое значение в рыночных условиях хозяйствования законодатель уделяет своевременной выплате заработной платы и других выплат, причитающихся работнику.</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ТК РФ закреплено в качестве основного принципа трудового права (ст. 2). Аналогичная обязанность работодателя содержится в ст. 22 ТК РФ: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В рыночных условиях хозяйствования задержка работодателем заработной платы широко распространена. Это стало обычным явлением. Ответственность работодателя в таких случаях наступает независимо от его вины.</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Законодатель предусмотрел ряд гарантий для работника, побуждающих работодателя своевременно рассчитываться с ним. Так, при задержке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(ч. 2 ст. 142 ТК РФ). При несвоевременной оплате работнику ежегодного оплачиваемого отпуска работодатель по письменному заявлению работника обязан перенести такой отпуск на другой срок, согласованный с ним (ч. 2 ст. 124 ТК РФ).</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В случае нарушения работодателем установленного срока выплаты заработной платы, оплаты отпуска и других выплат, причитающихся работнику, работодатель обязан дополнительно выплатить ему денежную компенсацию в размере не ниже 1/300 действующей в это время ставки рефинансирования Центрального банка РФ от задержанных сумм за каждый день, начиная со следующего дня после установленного срока по день фактического расчета включительно. Размер денежной компенсации работнику может устанавливаться коллективным или трудовым договором. При этом он не может быть ниже, чем это предусмотрено законом (ст. 236 ТК РФ).</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В тех случаях, когда финансовое положение организации не позволяет работодателю рассчитаться с работниками в установленный срок, составляется график погашения задолженности, а в крайнем случае и признание организации, </w:t>
      </w:r>
      <w:hyperlink r:id="rId9" w:tooltip="Работодатель — физическое лицо" w:history="1">
        <w:r w:rsidRPr="001E2491">
          <w:rPr>
            <w:rStyle w:val="a3"/>
            <w:rFonts w:ascii="Times New Roman" w:hAnsi="Times New Roman" w:cs="Times New Roman"/>
            <w:color w:val="auto"/>
            <w:sz w:val="28"/>
            <w:szCs w:val="28"/>
            <w:u w:val="none"/>
          </w:rPr>
          <w:t>работодателя — физического</w:t>
        </w:r>
      </w:hyperlink>
      <w:r w:rsidRPr="001E2491">
        <w:rPr>
          <w:rFonts w:ascii="Times New Roman" w:hAnsi="Times New Roman" w:cs="Times New Roman"/>
          <w:sz w:val="28"/>
          <w:szCs w:val="28"/>
        </w:rPr>
        <w:t> лица банкротом.</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Работодатель несет ответственность и в случае причинения вреда жизни и здоровью работника. Такая ответственность регулируется в основном нормами гражданского права.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Нарушение работодателем действующего законодательства о труде обычно причиняет работнику</w:t>
      </w:r>
      <w:r w:rsidRPr="001E2491">
        <w:rPr>
          <w:rFonts w:ascii="Times New Roman" w:hAnsi="Times New Roman" w:cs="Times New Roman"/>
          <w:bCs/>
          <w:sz w:val="28"/>
          <w:szCs w:val="28"/>
        </w:rPr>
        <w:t> нравственные либо физические страдания.</w:t>
      </w:r>
      <w:r w:rsidRPr="001E2491">
        <w:rPr>
          <w:rFonts w:ascii="Times New Roman" w:hAnsi="Times New Roman" w:cs="Times New Roman"/>
          <w:sz w:val="28"/>
          <w:szCs w:val="28"/>
        </w:rPr>
        <w:t> Определение понятия</w:t>
      </w:r>
      <w:r w:rsidRPr="001E2491">
        <w:rPr>
          <w:rFonts w:ascii="Times New Roman" w:hAnsi="Times New Roman" w:cs="Times New Roman"/>
          <w:bCs/>
          <w:sz w:val="28"/>
          <w:szCs w:val="28"/>
        </w:rPr>
        <w:t> морального вреда</w:t>
      </w:r>
      <w:r w:rsidRPr="001E2491">
        <w:rPr>
          <w:rFonts w:ascii="Times New Roman" w:hAnsi="Times New Roman" w:cs="Times New Roman"/>
          <w:sz w:val="28"/>
          <w:szCs w:val="28"/>
        </w:rPr>
        <w:t xml:space="preserve"> при нарушении трудовых прав работников было дано в постановлении Пленума Верховного Суда РФ от 20 декабря 1994 г. № 10 «Некоторые вопросы применения законодательства о компенсации морального вреда». По мнению Верховного Суда РФ. нравственные или физические страдания могут быть причинены действием или бездействием работодателя, посягающим на принадлежащие гражданину от рождения или в силу закона материальные блага (жизнь, здоровье, достоинство личности, деловая репутация, неприкосновенность частной жизни, личная и семейная тайна и т. п.) или нарушающими его личные неимущественные права (право на пользование своим именем, право авторства и другие неимущественные </w:t>
      </w:r>
      <w:r w:rsidRPr="001E2491">
        <w:rPr>
          <w:rFonts w:ascii="Times New Roman" w:hAnsi="Times New Roman" w:cs="Times New Roman"/>
          <w:sz w:val="28"/>
          <w:szCs w:val="28"/>
        </w:rPr>
        <w:lastRenderedPageBreak/>
        <w:t>права в соответствии с законом об охране прав на результаты интеллектуальной деятельности) либо нарушающими имущественные права граждан.</w:t>
      </w:r>
      <w:r w:rsidR="00293B05">
        <w:rPr>
          <w:rStyle w:val="aa"/>
          <w:rFonts w:ascii="Times New Roman" w:hAnsi="Times New Roman" w:cs="Times New Roman"/>
          <w:sz w:val="28"/>
          <w:szCs w:val="28"/>
        </w:rPr>
        <w:footnoteReference w:id="4"/>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Из приведенного определения следует, что возмещение морального вреда возможно при виновном правонарушении работодателем, во-первых, естественных прав работника, принадлежащих ему от рождения или в силу закона как имущественных, так и неимущественных; во-вторых, его личных неимущественных прав; в-третьих, имущественных прав работника.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Правонарушение работодателя может выражаться в определенных его действиях: это могут быть дискриминация в сфере труда, увольнение без законного основания или с нарушением установленного порядка, незаконный перевод на другую работу, необоснованное привлечение к дисциплинарной ответственности и др.</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Виновное бездействие работодателя, нарушающее права работника, проявляется, например, в нарушении правил ведения техпроцесса (</w:t>
      </w:r>
      <w:proofErr w:type="spellStart"/>
      <w:r w:rsidRPr="001E2491">
        <w:rPr>
          <w:rFonts w:ascii="Times New Roman" w:hAnsi="Times New Roman" w:cs="Times New Roman"/>
          <w:sz w:val="28"/>
          <w:szCs w:val="28"/>
        </w:rPr>
        <w:t>неустранение</w:t>
      </w:r>
      <w:proofErr w:type="spellEnd"/>
      <w:r w:rsidRPr="001E2491">
        <w:rPr>
          <w:rFonts w:ascii="Times New Roman" w:hAnsi="Times New Roman" w:cs="Times New Roman"/>
          <w:sz w:val="28"/>
          <w:szCs w:val="28"/>
        </w:rPr>
        <w:t xml:space="preserve"> неисправности в оборудовании, непринятие необходимых мер по обеспечению работника сырьем, материалами, полуфабрикатами надлежащего качества, </w:t>
      </w:r>
      <w:proofErr w:type="spellStart"/>
      <w:r w:rsidRPr="001E2491">
        <w:rPr>
          <w:rFonts w:ascii="Times New Roman" w:hAnsi="Times New Roman" w:cs="Times New Roman"/>
          <w:sz w:val="28"/>
          <w:szCs w:val="28"/>
        </w:rPr>
        <w:t>неознакомление</w:t>
      </w:r>
      <w:proofErr w:type="spellEnd"/>
      <w:r w:rsidRPr="001E2491">
        <w:rPr>
          <w:rFonts w:ascii="Times New Roman" w:hAnsi="Times New Roman" w:cs="Times New Roman"/>
          <w:sz w:val="28"/>
          <w:szCs w:val="28"/>
        </w:rPr>
        <w:t xml:space="preserve"> его с новыми или обновленными технологическими инструкциями, правилами охраны труда, что обусловило выпуск бракованной продукции, а соответственно, и уменьшение заработка работника).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Виновное бездействие работодателя может иметь место в случае неисполнения решений судебных органов о восстановлении незаконно уволенного работника на прежней работе и т. п.</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Моральный вред, причиненный работнику в процессе труда, компенсируется в денежной форме. Размер ее определяется соглашением сторон. Если работник в переговорах с работодателем не смог договориться о </w:t>
      </w:r>
      <w:r w:rsidRPr="001E2491">
        <w:rPr>
          <w:rFonts w:ascii="Times New Roman" w:hAnsi="Times New Roman" w:cs="Times New Roman"/>
          <w:sz w:val="28"/>
          <w:szCs w:val="28"/>
        </w:rPr>
        <w:lastRenderedPageBreak/>
        <w:t>необходимости компенсации морального вреда, либо стороны не достигли соглашения по его размеру, то работник может обратиться в суд. Суд вправе удовлетворить требования работника, если будет доказан факт виновного причинения ему работодателем морального вреда. В этом случае размер возмещения работнику определяется судом независимо от подлежащего возмещению имущественного ущерба (ч. 2 ст. 237 ТК РФ).</w:t>
      </w:r>
    </w:p>
    <w:p w:rsid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По мнению Верховного Суда РФ, 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либо физических страданий, степени вины работодателя, иных заслуживающих внимания обстоятельств, а также требований разумности и справедливости.</w:t>
      </w:r>
    </w:p>
    <w:p w:rsidR="001E2491" w:rsidRDefault="001E2491" w:rsidP="00293B05">
      <w:pPr>
        <w:pStyle w:val="2"/>
      </w:pPr>
      <w:bookmarkStart w:id="8" w:name="_Toc8660722"/>
      <w:r w:rsidRPr="001E2491">
        <w:t>2. Дополнительные основания прекращения трудового договора с помощником нотариуса</w:t>
      </w:r>
      <w:bookmarkEnd w:id="8"/>
    </w:p>
    <w:p w:rsidR="00293B05" w:rsidRPr="00293B05" w:rsidRDefault="00293B05" w:rsidP="00293B05"/>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Прежде чем рассмотреть дополнительные основания прекращения трудового договора с помощником нотариуса, необходимо определить порядок назначения на должность помощника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Права и обязанности помощника нотариуса определяются Основами законодательства Российской Федерации о нотариате, утвержденными Верховным Советом Российской Федерации от 11.02.1993 г. N 4462-1 (далее - Основы о нотариате), трудовым законодательством и трудовым договором между нотариусом и помощником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Помощником нотариуса в Российской Федерации может быть гражданин Российской Федерации (часть 1 статьи 19.1 Основ о нотариате):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получивший высшее юридическое образование в имеющей государственную аккредитацию образовательной организации высшего образования;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сдавший квалификационный экзамен.</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 xml:space="preserve">    Согласно части 2 статьи 2 Основ о нотариате помощником нотариусом не может быть лицо:</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признанное недееспособным или ограниченное в дееспособности решением суда, вступившим в законную силу;</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представившее подложные документы или заведомо ложные сведения при назначении на должность нотариуса;</w:t>
      </w:r>
      <w:r w:rsidR="00293B05">
        <w:rPr>
          <w:rStyle w:val="aa"/>
          <w:rFonts w:ascii="Times New Roman" w:hAnsi="Times New Roman" w:cs="Times New Roman"/>
          <w:sz w:val="28"/>
          <w:szCs w:val="28"/>
        </w:rPr>
        <w:footnoteReference w:id="5"/>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законодательства о нотариате,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Помощник нотариуса, в силу абзаца 3 статьи 19.1 Основ о нотариате, по поручению и под ответственность нотариуса вправе: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 xml:space="preserve">    - участвовать в подготовке совершения нотариальных действий;</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составлять проекты нотариально оформляемых документов;</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давать разъяснения по вопросам совершения нотариальных действий;</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осуществлять сбор необходимых информации, документов, сведений, передачу документов в рамках процедур государственной регистрации прав;</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получать свидетельства и иные документы, составлять проекты документов, производить записи в реестрах и иных документах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участвовать в формировании нотариального архива;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осуществлять другую подготовительную работу и иную необходимую для совершения нотариального действия работу.</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w:t>
      </w:r>
      <w:r>
        <w:rPr>
          <w:rFonts w:ascii="Times New Roman" w:hAnsi="Times New Roman" w:cs="Times New Roman"/>
          <w:sz w:val="28"/>
          <w:szCs w:val="28"/>
        </w:rPr>
        <w:t>ней со дня получения обращения.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Согласно статье 4 Федерального закона от 29.12.2014 г. N 457-ФЗ "О внесении изменений в отдельные законодательные акты Российской Федерации</w:t>
      </w:r>
      <w:proofErr w:type="gramStart"/>
      <w:r w:rsidRPr="001E2491">
        <w:rPr>
          <w:rFonts w:ascii="Times New Roman" w:hAnsi="Times New Roman" w:cs="Times New Roman"/>
          <w:sz w:val="28"/>
          <w:szCs w:val="28"/>
        </w:rPr>
        <w:t>"</w:t>
      </w:r>
      <w:proofErr w:type="gramEnd"/>
      <w:r w:rsidRPr="001E2491">
        <w:rPr>
          <w:rFonts w:ascii="Times New Roman" w:hAnsi="Times New Roman" w:cs="Times New Roman"/>
          <w:sz w:val="28"/>
          <w:szCs w:val="28"/>
        </w:rPr>
        <w:t xml:space="preserve"> Трудовой кодекс Российской Федерации (далее - ТК РФ) был дополнен новой статьей 351.4, положения которой устанавливают дополнительные основания прекращения трудового договора с помощником, работником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Прекращение трудового договора - это расторжение, прерывание, истечение срока действия трудового договора и увольнение работника.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 xml:space="preserve">    </w:t>
      </w:r>
      <w:r w:rsidRPr="001E2491">
        <w:rPr>
          <w:rFonts w:ascii="Times New Roman" w:hAnsi="Times New Roman" w:cs="Times New Roman"/>
          <w:sz w:val="28"/>
          <w:szCs w:val="28"/>
        </w:rPr>
        <w:t>В частности,</w:t>
      </w:r>
      <w:r w:rsidRPr="001E2491">
        <w:rPr>
          <w:rFonts w:ascii="Times New Roman" w:hAnsi="Times New Roman" w:cs="Times New Roman"/>
          <w:sz w:val="28"/>
          <w:szCs w:val="28"/>
        </w:rPr>
        <w:t xml:space="preserve"> статьей 351.4 ТК РФ определено, что наряду с основаниями, предусмотренными главой 13 ТК РФ, дополнительные основания прекращения трудового договора с помощником нотариуса могут быть установлены статьей 19.1 Основ о нотариате.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Общие основания, по которым может быть расторгнут трудовой договор с помощником нотариуса предусмотрены главой 13 ТК РФ. В данную главу входят следующие статьи: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77 "Общие основания прекращения трудового договора";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78 "Расторжение трудового договора по соглашению сторон";</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79 "Прекращение срочного трудового договора";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80 "Расторжение трудового договора по инициативе работника (по собственному желанию)";</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81 "Расторжение трудового договора по инициативе работодателя";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83 "Прекращение трудового договора по обстоятельствам, не зависящим от воли сторон";</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84 "Прекращение трудового договора вследствие нарушения установленных ТК РФ или иным федеральным законом правил заключения трудового договора";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статья 84.1 "Общий порядок оформления п</w:t>
      </w:r>
      <w:r>
        <w:rPr>
          <w:rFonts w:ascii="Times New Roman" w:hAnsi="Times New Roman" w:cs="Times New Roman"/>
          <w:sz w:val="28"/>
          <w:szCs w:val="28"/>
        </w:rPr>
        <w:t>рекращения трудового договора".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 xml:space="preserve">    В силу статьи 19.1 Основ о нотариате прекращение трудового договора с помощником нотариуса осуществляется также по основаниям прекращения полномочий нотариуса в соответствии со статьей 12 Основ о нотариате.</w:t>
      </w:r>
      <w:r w:rsidR="00293B05">
        <w:rPr>
          <w:rStyle w:val="aa"/>
          <w:rFonts w:ascii="Times New Roman" w:hAnsi="Times New Roman" w:cs="Times New Roman"/>
          <w:sz w:val="28"/>
          <w:szCs w:val="28"/>
        </w:rPr>
        <w:footnoteReference w:id="6"/>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Согласно пункту 1 данной статьи должность нотариуса ликвидируется согласно </w:t>
      </w:r>
      <w:r w:rsidRPr="001E2491">
        <w:rPr>
          <w:rFonts w:ascii="Times New Roman" w:hAnsi="Times New Roman" w:cs="Times New Roman"/>
          <w:sz w:val="28"/>
          <w:szCs w:val="28"/>
        </w:rPr>
        <w:t>Порядку учреждения и ликвидации должности нотариуса,</w:t>
      </w:r>
      <w:r w:rsidRPr="001E2491">
        <w:rPr>
          <w:rFonts w:ascii="Times New Roman" w:hAnsi="Times New Roman" w:cs="Times New Roman"/>
          <w:sz w:val="28"/>
          <w:szCs w:val="28"/>
        </w:rPr>
        <w:t xml:space="preserve"> утвержденному Приказом Минюста России от 23.12.2009 г. N 430 (далее - Порядок N 430).</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В пункте 1 Порядка N 430 отмечено, что решение о ликвидации должности нотариуса принимается территориальным органом Министерства юстиции Российской Федерации по согласованию с нотариальной палатой в субъекте Российской Федерации.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Решение о ликвидации должности нотариуса оформляется приказом территориального органа. Приказом территориального органа о ликвидации должностей нотариусов ликвидируются должности нотариусов, занимающихся частной практикой, и (или) нотариусов, работающих в государственной нотариальной конторе.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Приказ территориального органа о ликвидации должности нотариуса издается в пятнадцатидневный срок после: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принятия органом государственной власти субъекта Российской Федерации решения об изменении количества должностей нотариусов в нотариальном округе;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издания территориальным органом Министерства юстиции Российской Федерации в установленном порядке приказа о переводе нотариуса, работающего в государственной нотариальной конторе, на должность нотариуса, занимающегося частной практикой. В этом случае, принимается решение о ликвидации должности нотариуса в государственной нотариальной </w:t>
      </w:r>
      <w:r w:rsidRPr="001E2491">
        <w:rPr>
          <w:rFonts w:ascii="Times New Roman" w:hAnsi="Times New Roman" w:cs="Times New Roman"/>
          <w:sz w:val="28"/>
          <w:szCs w:val="28"/>
        </w:rPr>
        <w:lastRenderedPageBreak/>
        <w:t>конторе и об учреждении должности нотариуса, занимающегося частной практикой, которое оформляется приказом территориального органа.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С этой целью территориальным органом или нотариальной палатой незамедлительно инициируется принятие решения о ликвидации должности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Решение о ликвидации должности нотариуса может быть принято только в отношении вакантной должности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В приказе территориального органа о ликвидации должности нотариуса указываются:</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основание принятия решения о ликвидации должности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наименование нотариального округа, в котором ликвидируются должности нотариуса.</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Согласно части 5 статьи 12 Основ о нотариате трудовой договор с помощником нотариуса также должен быть прекращен по решению суда о лишении его права нотариальной деятельности в случаях:</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осуждения его за совершение умышленного преступления - после вступления приговора в законную силу;</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ограничения дееспособности или признания недееспособным в установленном законом порядке;</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1E2491" w:rsidRPr="001E2491" w:rsidRDefault="001E2491" w:rsidP="001E2491">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t xml:space="preserve">    • признания его банкротом в соответствии с Федеральным законом от 26.10.2002 г. N 127-ФЗ "О несостоятельности (банкротстве)".</w:t>
      </w:r>
    </w:p>
    <w:p w:rsidR="00293B05" w:rsidRDefault="001E2491" w:rsidP="00293B05">
      <w:pPr>
        <w:spacing w:line="360" w:lineRule="auto"/>
        <w:jc w:val="both"/>
        <w:rPr>
          <w:rFonts w:ascii="Times New Roman" w:hAnsi="Times New Roman" w:cs="Times New Roman"/>
          <w:sz w:val="28"/>
          <w:szCs w:val="28"/>
        </w:rPr>
      </w:pPr>
      <w:r w:rsidRPr="001E2491">
        <w:rPr>
          <w:rFonts w:ascii="Times New Roman" w:hAnsi="Times New Roman" w:cs="Times New Roman"/>
          <w:sz w:val="28"/>
          <w:szCs w:val="28"/>
        </w:rPr>
        <w:lastRenderedPageBreak/>
        <w:t xml:space="preserve">    Таким образом, для освобождения от полномочий нотариуса, занимающегося частной практикой, необходим только вступивший в законную силу судебный акт - приговор или решение суда общей юрисдикции, вынесенные по определенным законом фактическим ситуациям.</w:t>
      </w:r>
      <w:r w:rsidR="00293B05">
        <w:rPr>
          <w:rStyle w:val="aa"/>
          <w:rFonts w:ascii="Times New Roman" w:hAnsi="Times New Roman" w:cs="Times New Roman"/>
          <w:sz w:val="28"/>
          <w:szCs w:val="28"/>
        </w:rPr>
        <w:footnoteReference w:id="7"/>
      </w:r>
      <w:bookmarkStart w:id="9" w:name="_Toc8657842"/>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spacing w:line="360" w:lineRule="auto"/>
        <w:jc w:val="center"/>
        <w:rPr>
          <w:rFonts w:ascii="Times New Roman" w:hAnsi="Times New Roman" w:cs="Times New Roman"/>
          <w:b/>
          <w:sz w:val="28"/>
          <w:szCs w:val="28"/>
        </w:rPr>
      </w:pPr>
    </w:p>
    <w:p w:rsidR="00293B05" w:rsidRDefault="00293B05" w:rsidP="00293B05">
      <w:pPr>
        <w:pStyle w:val="1"/>
      </w:pPr>
      <w:bookmarkStart w:id="10" w:name="_Toc8660723"/>
      <w:r w:rsidRPr="00293B05">
        <w:lastRenderedPageBreak/>
        <w:t>Список использованной литературы</w:t>
      </w:r>
      <w:bookmarkEnd w:id="9"/>
      <w:bookmarkEnd w:id="10"/>
    </w:p>
    <w:p w:rsidR="00293B05" w:rsidRPr="00293B05" w:rsidRDefault="00293B05" w:rsidP="00293B05"/>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Нормативно правовые акты</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2. "Трудовой кодекс Российской Федерации" от 30.12.2001 N 197-ФЗ (ред. от 01.04.2019)</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Основная литература</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 xml:space="preserve">1.Белянинова, Ю. В. Трудовое право / Ю.В. </w:t>
      </w:r>
      <w:proofErr w:type="spellStart"/>
      <w:r w:rsidRPr="00293B05">
        <w:rPr>
          <w:rFonts w:ascii="Times New Roman" w:hAnsi="Times New Roman" w:cs="Times New Roman"/>
          <w:sz w:val="28"/>
          <w:szCs w:val="28"/>
        </w:rPr>
        <w:t>Белянинова</w:t>
      </w:r>
      <w:proofErr w:type="spellEnd"/>
      <w:r w:rsidRPr="00293B05">
        <w:rPr>
          <w:rFonts w:ascii="Times New Roman" w:hAnsi="Times New Roman" w:cs="Times New Roman"/>
          <w:sz w:val="28"/>
          <w:szCs w:val="28"/>
        </w:rPr>
        <w:t>. - М.: Приор-</w:t>
      </w:r>
      <w:proofErr w:type="spellStart"/>
      <w:r w:rsidRPr="00293B05">
        <w:rPr>
          <w:rFonts w:ascii="Times New Roman" w:hAnsi="Times New Roman" w:cs="Times New Roman"/>
          <w:sz w:val="28"/>
          <w:szCs w:val="28"/>
        </w:rPr>
        <w:t>издат</w:t>
      </w:r>
      <w:proofErr w:type="spellEnd"/>
      <w:r w:rsidRPr="00293B05">
        <w:rPr>
          <w:rFonts w:ascii="Times New Roman" w:hAnsi="Times New Roman" w:cs="Times New Roman"/>
          <w:sz w:val="28"/>
          <w:szCs w:val="28"/>
        </w:rPr>
        <w:t>, 2016. - 220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 xml:space="preserve">2. </w:t>
      </w:r>
      <w:proofErr w:type="spellStart"/>
      <w:r w:rsidRPr="00293B05">
        <w:rPr>
          <w:rFonts w:ascii="Times New Roman" w:hAnsi="Times New Roman" w:cs="Times New Roman"/>
          <w:sz w:val="28"/>
          <w:szCs w:val="28"/>
        </w:rPr>
        <w:t>Белянинова</w:t>
      </w:r>
      <w:proofErr w:type="spellEnd"/>
      <w:r w:rsidRPr="00293B05">
        <w:rPr>
          <w:rFonts w:ascii="Times New Roman" w:hAnsi="Times New Roman" w:cs="Times New Roman"/>
          <w:sz w:val="28"/>
          <w:szCs w:val="28"/>
        </w:rPr>
        <w:t xml:space="preserve">, Ю. В. Трудовое право. Учебный курс / Ю.В. </w:t>
      </w:r>
      <w:proofErr w:type="spellStart"/>
      <w:r w:rsidRPr="00293B05">
        <w:rPr>
          <w:rFonts w:ascii="Times New Roman" w:hAnsi="Times New Roman" w:cs="Times New Roman"/>
          <w:sz w:val="28"/>
          <w:szCs w:val="28"/>
        </w:rPr>
        <w:t>Белянинова</w:t>
      </w:r>
      <w:proofErr w:type="spellEnd"/>
      <w:r w:rsidRPr="00293B05">
        <w:rPr>
          <w:rFonts w:ascii="Times New Roman" w:hAnsi="Times New Roman" w:cs="Times New Roman"/>
          <w:sz w:val="28"/>
          <w:szCs w:val="28"/>
        </w:rPr>
        <w:t>. - М.: Приор-</w:t>
      </w:r>
      <w:proofErr w:type="spellStart"/>
      <w:r w:rsidRPr="00293B05">
        <w:rPr>
          <w:rFonts w:ascii="Times New Roman" w:hAnsi="Times New Roman" w:cs="Times New Roman"/>
          <w:sz w:val="28"/>
          <w:szCs w:val="28"/>
        </w:rPr>
        <w:t>издат</w:t>
      </w:r>
      <w:proofErr w:type="spellEnd"/>
      <w:r w:rsidRPr="00293B05">
        <w:rPr>
          <w:rFonts w:ascii="Times New Roman" w:hAnsi="Times New Roman" w:cs="Times New Roman"/>
          <w:sz w:val="28"/>
          <w:szCs w:val="28"/>
        </w:rPr>
        <w:t>, 2017. - 222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3. Галаганов, В. П. Право социального обеспечения. Практикум. Учебное пособие / В.П. Галаганов. - М.: Академия, 2015. - 160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 xml:space="preserve">4. Головина, С. Ю. Трудовое право. Учебник / С.Ю. Головина, Ю.А. Кучина. - М.: </w:t>
      </w:r>
      <w:proofErr w:type="spellStart"/>
      <w:r w:rsidRPr="00293B05">
        <w:rPr>
          <w:rFonts w:ascii="Times New Roman" w:hAnsi="Times New Roman" w:cs="Times New Roman"/>
          <w:sz w:val="28"/>
          <w:szCs w:val="28"/>
        </w:rPr>
        <w:t>Юрайт</w:t>
      </w:r>
      <w:proofErr w:type="spellEnd"/>
      <w:r w:rsidRPr="00293B05">
        <w:rPr>
          <w:rFonts w:ascii="Times New Roman" w:hAnsi="Times New Roman" w:cs="Times New Roman"/>
          <w:sz w:val="28"/>
          <w:szCs w:val="28"/>
        </w:rPr>
        <w:t>, 2014. - 398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 xml:space="preserve">5. </w:t>
      </w:r>
      <w:proofErr w:type="spellStart"/>
      <w:r w:rsidRPr="00293B05">
        <w:rPr>
          <w:rFonts w:ascii="Times New Roman" w:hAnsi="Times New Roman" w:cs="Times New Roman"/>
          <w:sz w:val="28"/>
          <w:szCs w:val="28"/>
        </w:rPr>
        <w:t>Дзгоева</w:t>
      </w:r>
      <w:proofErr w:type="spellEnd"/>
      <w:r w:rsidRPr="00293B05">
        <w:rPr>
          <w:rFonts w:ascii="Times New Roman" w:hAnsi="Times New Roman" w:cs="Times New Roman"/>
          <w:sz w:val="28"/>
          <w:szCs w:val="28"/>
        </w:rPr>
        <w:t xml:space="preserve">-Сулейманова, Ф. О. Трудовое право. Краткий курс. Учебное пособие / Ф.О. </w:t>
      </w:r>
      <w:proofErr w:type="spellStart"/>
      <w:r w:rsidRPr="00293B05">
        <w:rPr>
          <w:rFonts w:ascii="Times New Roman" w:hAnsi="Times New Roman" w:cs="Times New Roman"/>
          <w:sz w:val="28"/>
          <w:szCs w:val="28"/>
        </w:rPr>
        <w:t>Дзгоева</w:t>
      </w:r>
      <w:proofErr w:type="spellEnd"/>
      <w:r w:rsidRPr="00293B05">
        <w:rPr>
          <w:rFonts w:ascii="Times New Roman" w:hAnsi="Times New Roman" w:cs="Times New Roman"/>
          <w:sz w:val="28"/>
          <w:szCs w:val="28"/>
        </w:rPr>
        <w:t>-Сулейманова. - М.: Проспект, 2016. - 176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 xml:space="preserve">6. Егоров, В. И. Трудовой договор (+ электронный учебник) / В.И. Егоров, Ю.В. Харитонова. - М.: </w:t>
      </w:r>
      <w:proofErr w:type="spellStart"/>
      <w:r w:rsidRPr="00293B05">
        <w:rPr>
          <w:rFonts w:ascii="Times New Roman" w:hAnsi="Times New Roman" w:cs="Times New Roman"/>
          <w:sz w:val="28"/>
          <w:szCs w:val="28"/>
        </w:rPr>
        <w:t>КноРус</w:t>
      </w:r>
      <w:proofErr w:type="spellEnd"/>
      <w:r w:rsidRPr="00293B05">
        <w:rPr>
          <w:rFonts w:ascii="Times New Roman" w:hAnsi="Times New Roman" w:cs="Times New Roman"/>
          <w:sz w:val="28"/>
          <w:szCs w:val="28"/>
        </w:rPr>
        <w:t>, 2017. - 464 c.</w:t>
      </w:r>
    </w:p>
    <w:p w:rsidR="00293B05" w:rsidRPr="00293B05" w:rsidRDefault="00293B05" w:rsidP="00293B05">
      <w:pPr>
        <w:spacing w:line="360" w:lineRule="auto"/>
        <w:jc w:val="both"/>
        <w:rPr>
          <w:rFonts w:ascii="Times New Roman" w:hAnsi="Times New Roman" w:cs="Times New Roman"/>
          <w:sz w:val="28"/>
          <w:szCs w:val="28"/>
        </w:rPr>
      </w:pPr>
      <w:r w:rsidRPr="00293B05">
        <w:rPr>
          <w:rFonts w:ascii="Times New Roman" w:hAnsi="Times New Roman" w:cs="Times New Roman"/>
          <w:sz w:val="28"/>
          <w:szCs w:val="28"/>
        </w:rPr>
        <w:t>7. Трудовое право России. Учебник. - М.: Проспект, 2016. - 624 c.</w:t>
      </w:r>
      <w:r w:rsidRPr="00293B05">
        <w:rPr>
          <w:rFonts w:ascii="Times New Roman" w:hAnsi="Times New Roman" w:cs="Times New Roman"/>
          <w:sz w:val="28"/>
          <w:szCs w:val="28"/>
        </w:rPr>
        <w:br/>
      </w:r>
    </w:p>
    <w:p w:rsidR="00293B05" w:rsidRPr="001E2491" w:rsidRDefault="00293B05" w:rsidP="001E2491">
      <w:pPr>
        <w:spacing w:line="360" w:lineRule="auto"/>
        <w:jc w:val="both"/>
        <w:rPr>
          <w:rFonts w:ascii="Times New Roman" w:hAnsi="Times New Roman" w:cs="Times New Roman"/>
          <w:sz w:val="28"/>
          <w:szCs w:val="28"/>
        </w:rPr>
      </w:pPr>
    </w:p>
    <w:sectPr w:rsidR="00293B05" w:rsidRPr="001E249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102" w:rsidRDefault="00D61102" w:rsidP="00293B05">
      <w:pPr>
        <w:spacing w:after="0" w:line="240" w:lineRule="auto"/>
      </w:pPr>
      <w:r>
        <w:separator/>
      </w:r>
    </w:p>
  </w:endnote>
  <w:endnote w:type="continuationSeparator" w:id="0">
    <w:p w:rsidR="00D61102" w:rsidRDefault="00D61102" w:rsidP="0029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093806"/>
      <w:docPartObj>
        <w:docPartGallery w:val="Page Numbers (Bottom of Page)"/>
        <w:docPartUnique/>
      </w:docPartObj>
    </w:sdtPr>
    <w:sdtContent>
      <w:p w:rsidR="00293B05" w:rsidRDefault="00293B05">
        <w:pPr>
          <w:pStyle w:val="a6"/>
          <w:jc w:val="center"/>
        </w:pPr>
        <w:r>
          <w:fldChar w:fldCharType="begin"/>
        </w:r>
        <w:r>
          <w:instrText>PAGE   \* MERGEFORMAT</w:instrText>
        </w:r>
        <w:r>
          <w:fldChar w:fldCharType="separate"/>
        </w:r>
        <w:r>
          <w:rPr>
            <w:noProof/>
          </w:rPr>
          <w:t>22</w:t>
        </w:r>
        <w:r>
          <w:fldChar w:fldCharType="end"/>
        </w:r>
      </w:p>
    </w:sdtContent>
  </w:sdt>
  <w:p w:rsidR="00293B05" w:rsidRDefault="00293B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102" w:rsidRDefault="00D61102" w:rsidP="00293B05">
      <w:pPr>
        <w:spacing w:after="0" w:line="240" w:lineRule="auto"/>
      </w:pPr>
      <w:r>
        <w:separator/>
      </w:r>
    </w:p>
  </w:footnote>
  <w:footnote w:type="continuationSeparator" w:id="0">
    <w:p w:rsidR="00D61102" w:rsidRDefault="00D61102" w:rsidP="00293B05">
      <w:pPr>
        <w:spacing w:after="0" w:line="240" w:lineRule="auto"/>
      </w:pPr>
      <w:r>
        <w:continuationSeparator/>
      </w:r>
    </w:p>
  </w:footnote>
  <w:footnote w:id="1">
    <w:p w:rsidR="00293B05" w:rsidRDefault="00293B05">
      <w:pPr>
        <w:pStyle w:val="a8"/>
      </w:pPr>
      <w:r>
        <w:rPr>
          <w:rStyle w:val="aa"/>
        </w:rPr>
        <w:footnoteRef/>
      </w:r>
      <w:r>
        <w:t xml:space="preserve"> </w:t>
      </w:r>
      <w:proofErr w:type="spellStart"/>
      <w:r w:rsidRPr="00293B05">
        <w:t>Дзгоева</w:t>
      </w:r>
      <w:proofErr w:type="spellEnd"/>
      <w:r w:rsidRPr="00293B05">
        <w:t xml:space="preserve">-Сулейманова, Ф. О. Трудовое право. Краткий курс. Учебное пособие / Ф.О. </w:t>
      </w:r>
      <w:proofErr w:type="spellStart"/>
      <w:r w:rsidRPr="00293B05">
        <w:t>Дзгоева</w:t>
      </w:r>
      <w:proofErr w:type="spellEnd"/>
      <w:r w:rsidRPr="00293B05">
        <w:t>-Сулейманова. - М.: Проспект, 2016. - 176 c.</w:t>
      </w:r>
    </w:p>
  </w:footnote>
  <w:footnote w:id="2">
    <w:p w:rsidR="00293B05" w:rsidRDefault="00293B05">
      <w:pPr>
        <w:pStyle w:val="a8"/>
      </w:pPr>
      <w:r>
        <w:rPr>
          <w:rStyle w:val="aa"/>
        </w:rPr>
        <w:footnoteRef/>
      </w:r>
      <w:r>
        <w:t xml:space="preserve"> </w:t>
      </w:r>
      <w:proofErr w:type="spellStart"/>
      <w:r w:rsidRPr="00293B05">
        <w:t>Белянинова</w:t>
      </w:r>
      <w:proofErr w:type="spellEnd"/>
      <w:r w:rsidRPr="00293B05">
        <w:t xml:space="preserve">, Ю. В. Трудовое право. Учебный курс / Ю.В. </w:t>
      </w:r>
      <w:proofErr w:type="spellStart"/>
      <w:r w:rsidRPr="00293B05">
        <w:t>Белянинова</w:t>
      </w:r>
      <w:proofErr w:type="spellEnd"/>
      <w:r w:rsidRPr="00293B05">
        <w:t>. - М.: Приор-</w:t>
      </w:r>
      <w:proofErr w:type="spellStart"/>
      <w:r w:rsidRPr="00293B05">
        <w:t>издат</w:t>
      </w:r>
      <w:proofErr w:type="spellEnd"/>
      <w:r w:rsidRPr="00293B05">
        <w:t>, 2017. - 222 c.</w:t>
      </w:r>
    </w:p>
  </w:footnote>
  <w:footnote w:id="3">
    <w:p w:rsidR="00293B05" w:rsidRDefault="00293B05">
      <w:pPr>
        <w:pStyle w:val="a8"/>
      </w:pPr>
      <w:r>
        <w:rPr>
          <w:rStyle w:val="aa"/>
        </w:rPr>
        <w:footnoteRef/>
      </w:r>
      <w:r>
        <w:t xml:space="preserve"> </w:t>
      </w:r>
      <w:r w:rsidRPr="00293B05">
        <w:t>Галаганов, В. П. Право социального обеспечения. Практикум. Учебное пособие / В.П. Галаганов. - М.: Академия, 2015. - 160 c.</w:t>
      </w:r>
    </w:p>
  </w:footnote>
  <w:footnote w:id="4">
    <w:p w:rsidR="00293B05" w:rsidRDefault="00293B05">
      <w:pPr>
        <w:pStyle w:val="a8"/>
      </w:pPr>
      <w:r>
        <w:rPr>
          <w:rStyle w:val="aa"/>
        </w:rPr>
        <w:footnoteRef/>
      </w:r>
      <w:r>
        <w:t xml:space="preserve"> </w:t>
      </w:r>
      <w:r w:rsidRPr="00293B05">
        <w:t xml:space="preserve">Головина, С. Ю. Трудовое право. Учебник / С.Ю. Головина, Ю.А. Кучина. - М.: </w:t>
      </w:r>
      <w:proofErr w:type="spellStart"/>
      <w:r w:rsidRPr="00293B05">
        <w:t>Юрайт</w:t>
      </w:r>
      <w:proofErr w:type="spellEnd"/>
      <w:r w:rsidRPr="00293B05">
        <w:t>, 2014. - 398 c.</w:t>
      </w:r>
    </w:p>
  </w:footnote>
  <w:footnote w:id="5">
    <w:p w:rsidR="00293B05" w:rsidRDefault="00293B05">
      <w:pPr>
        <w:pStyle w:val="a8"/>
      </w:pPr>
      <w:r>
        <w:rPr>
          <w:rStyle w:val="aa"/>
        </w:rPr>
        <w:footnoteRef/>
      </w:r>
      <w:r>
        <w:t xml:space="preserve"> </w:t>
      </w:r>
      <w:r w:rsidRPr="00293B05">
        <w:t>Трудовое право России. Учебник. - М.: Проспект, 2016. - 624 c.</w:t>
      </w:r>
    </w:p>
  </w:footnote>
  <w:footnote w:id="6">
    <w:p w:rsidR="00293B05" w:rsidRDefault="00293B05">
      <w:pPr>
        <w:pStyle w:val="a8"/>
      </w:pPr>
      <w:r>
        <w:rPr>
          <w:rStyle w:val="aa"/>
        </w:rPr>
        <w:footnoteRef/>
      </w:r>
      <w:r>
        <w:t xml:space="preserve"> </w:t>
      </w:r>
      <w:r w:rsidRPr="00293B05">
        <w:t xml:space="preserve">Егоров, В. И. Трудовой договор (+ электронный учебник) / В.И. Егоров, Ю.В. Харитонова. - М.: </w:t>
      </w:r>
      <w:proofErr w:type="spellStart"/>
      <w:r w:rsidRPr="00293B05">
        <w:t>КноРус</w:t>
      </w:r>
      <w:proofErr w:type="spellEnd"/>
      <w:r w:rsidRPr="00293B05">
        <w:t>, 2017. - 464 c.</w:t>
      </w:r>
    </w:p>
  </w:footnote>
  <w:footnote w:id="7">
    <w:p w:rsidR="00293B05" w:rsidRDefault="00293B05">
      <w:pPr>
        <w:pStyle w:val="a8"/>
      </w:pPr>
      <w:r>
        <w:rPr>
          <w:rStyle w:val="aa"/>
        </w:rPr>
        <w:footnoteRef/>
      </w:r>
      <w:r>
        <w:t xml:space="preserve"> </w:t>
      </w:r>
      <w:proofErr w:type="spellStart"/>
      <w:r w:rsidRPr="00293B05">
        <w:t>Белянинова</w:t>
      </w:r>
      <w:proofErr w:type="spellEnd"/>
      <w:r w:rsidRPr="00293B05">
        <w:t xml:space="preserve">, Ю. В. Трудовое право / Ю.В. </w:t>
      </w:r>
      <w:proofErr w:type="spellStart"/>
      <w:r w:rsidRPr="00293B05">
        <w:t>Белянинова</w:t>
      </w:r>
      <w:proofErr w:type="spellEnd"/>
      <w:r w:rsidRPr="00293B05">
        <w:t>. - М.: Приор-</w:t>
      </w:r>
      <w:proofErr w:type="spellStart"/>
      <w:r w:rsidRPr="00293B05">
        <w:t>издат</w:t>
      </w:r>
      <w:proofErr w:type="spellEnd"/>
      <w:r w:rsidRPr="00293B05">
        <w:t>, 2016. - 220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A4B7F"/>
    <w:multiLevelType w:val="multilevel"/>
    <w:tmpl w:val="0C72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41BCB"/>
    <w:multiLevelType w:val="multilevel"/>
    <w:tmpl w:val="DDE08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15C81"/>
    <w:multiLevelType w:val="multilevel"/>
    <w:tmpl w:val="163A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559A8"/>
    <w:multiLevelType w:val="multilevel"/>
    <w:tmpl w:val="8F5E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A147F1"/>
    <w:multiLevelType w:val="multilevel"/>
    <w:tmpl w:val="6C9C0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45193"/>
    <w:multiLevelType w:val="multilevel"/>
    <w:tmpl w:val="511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61"/>
    <w:rsid w:val="001E2491"/>
    <w:rsid w:val="002408E6"/>
    <w:rsid w:val="00293B05"/>
    <w:rsid w:val="002B2180"/>
    <w:rsid w:val="0054427C"/>
    <w:rsid w:val="00702E0B"/>
    <w:rsid w:val="00C12A61"/>
    <w:rsid w:val="00D61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5DCDA-1094-46C2-8AE8-8EE2E7F0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3B05"/>
    <w:pPr>
      <w:keepNext/>
      <w:keepLines/>
      <w:spacing w:before="240" w:after="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293B05"/>
    <w:pPr>
      <w:keepNext/>
      <w:keepLines/>
      <w:spacing w:before="40" w:after="0"/>
      <w:jc w:val="center"/>
      <w:outlineLvl w:val="1"/>
    </w:pPr>
    <w:rPr>
      <w:rFonts w:ascii="Times New Roman" w:eastAsiaTheme="majorEastAsia" w:hAnsi="Times New Roman" w:cstheme="majorBidi"/>
      <w:b/>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491"/>
    <w:rPr>
      <w:color w:val="0563C1" w:themeColor="hyperlink"/>
      <w:u w:val="single"/>
    </w:rPr>
  </w:style>
  <w:style w:type="paragraph" w:styleId="a4">
    <w:name w:val="header"/>
    <w:basedOn w:val="a"/>
    <w:link w:val="a5"/>
    <w:uiPriority w:val="99"/>
    <w:unhideWhenUsed/>
    <w:rsid w:val="00293B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3B05"/>
  </w:style>
  <w:style w:type="paragraph" w:styleId="a6">
    <w:name w:val="footer"/>
    <w:basedOn w:val="a"/>
    <w:link w:val="a7"/>
    <w:uiPriority w:val="99"/>
    <w:unhideWhenUsed/>
    <w:rsid w:val="00293B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3B05"/>
  </w:style>
  <w:style w:type="paragraph" w:styleId="a8">
    <w:name w:val="footnote text"/>
    <w:basedOn w:val="a"/>
    <w:link w:val="a9"/>
    <w:uiPriority w:val="99"/>
    <w:semiHidden/>
    <w:unhideWhenUsed/>
    <w:rsid w:val="00293B05"/>
    <w:pPr>
      <w:spacing w:after="0" w:line="240" w:lineRule="auto"/>
    </w:pPr>
    <w:rPr>
      <w:sz w:val="20"/>
      <w:szCs w:val="20"/>
    </w:rPr>
  </w:style>
  <w:style w:type="character" w:customStyle="1" w:styleId="a9">
    <w:name w:val="Текст сноски Знак"/>
    <w:basedOn w:val="a0"/>
    <w:link w:val="a8"/>
    <w:uiPriority w:val="99"/>
    <w:semiHidden/>
    <w:rsid w:val="00293B05"/>
    <w:rPr>
      <w:sz w:val="20"/>
      <w:szCs w:val="20"/>
    </w:rPr>
  </w:style>
  <w:style w:type="character" w:styleId="aa">
    <w:name w:val="footnote reference"/>
    <w:basedOn w:val="a0"/>
    <w:uiPriority w:val="99"/>
    <w:semiHidden/>
    <w:unhideWhenUsed/>
    <w:rsid w:val="00293B05"/>
    <w:rPr>
      <w:vertAlign w:val="superscript"/>
    </w:rPr>
  </w:style>
  <w:style w:type="character" w:customStyle="1" w:styleId="10">
    <w:name w:val="Заголовок 1 Знак"/>
    <w:basedOn w:val="a0"/>
    <w:link w:val="1"/>
    <w:uiPriority w:val="9"/>
    <w:rsid w:val="00293B05"/>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293B05"/>
    <w:rPr>
      <w:rFonts w:ascii="Times New Roman" w:eastAsiaTheme="majorEastAsia" w:hAnsi="Times New Roman" w:cstheme="majorBidi"/>
      <w:b/>
      <w:sz w:val="28"/>
      <w:szCs w:val="26"/>
    </w:rPr>
  </w:style>
  <w:style w:type="paragraph" w:styleId="ab">
    <w:name w:val="TOC Heading"/>
    <w:basedOn w:val="1"/>
    <w:next w:val="a"/>
    <w:uiPriority w:val="39"/>
    <w:unhideWhenUsed/>
    <w:qFormat/>
    <w:rsid w:val="00293B05"/>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293B05"/>
    <w:pPr>
      <w:spacing w:after="100"/>
    </w:pPr>
  </w:style>
  <w:style w:type="paragraph" w:styleId="21">
    <w:name w:val="toc 2"/>
    <w:basedOn w:val="a"/>
    <w:next w:val="a"/>
    <w:autoRedefine/>
    <w:uiPriority w:val="39"/>
    <w:unhideWhenUsed/>
    <w:rsid w:val="00293B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6013">
      <w:bodyDiv w:val="1"/>
      <w:marLeft w:val="0"/>
      <w:marRight w:val="0"/>
      <w:marTop w:val="0"/>
      <w:marBottom w:val="0"/>
      <w:divBdr>
        <w:top w:val="none" w:sz="0" w:space="0" w:color="auto"/>
        <w:left w:val="none" w:sz="0" w:space="0" w:color="auto"/>
        <w:bottom w:val="none" w:sz="0" w:space="0" w:color="auto"/>
        <w:right w:val="none" w:sz="0" w:space="0" w:color="auto"/>
      </w:divBdr>
    </w:div>
    <w:div w:id="1021124390">
      <w:bodyDiv w:val="1"/>
      <w:marLeft w:val="0"/>
      <w:marRight w:val="0"/>
      <w:marTop w:val="0"/>
      <w:marBottom w:val="0"/>
      <w:divBdr>
        <w:top w:val="none" w:sz="0" w:space="0" w:color="auto"/>
        <w:left w:val="none" w:sz="0" w:space="0" w:color="auto"/>
        <w:bottom w:val="none" w:sz="0" w:space="0" w:color="auto"/>
        <w:right w:val="none" w:sz="0" w:space="0" w:color="auto"/>
      </w:divBdr>
    </w:div>
    <w:div w:id="1457217905">
      <w:bodyDiv w:val="1"/>
      <w:marLeft w:val="0"/>
      <w:marRight w:val="0"/>
      <w:marTop w:val="0"/>
      <w:marBottom w:val="0"/>
      <w:divBdr>
        <w:top w:val="none" w:sz="0" w:space="0" w:color="auto"/>
        <w:left w:val="none" w:sz="0" w:space="0" w:color="auto"/>
        <w:bottom w:val="none" w:sz="0" w:space="0" w:color="auto"/>
        <w:right w:val="none" w:sz="0" w:space="0" w:color="auto"/>
      </w:divBdr>
    </w:div>
    <w:div w:id="1503427949">
      <w:bodyDiv w:val="1"/>
      <w:marLeft w:val="0"/>
      <w:marRight w:val="0"/>
      <w:marTop w:val="0"/>
      <w:marBottom w:val="0"/>
      <w:divBdr>
        <w:top w:val="none" w:sz="0" w:space="0" w:color="auto"/>
        <w:left w:val="none" w:sz="0" w:space="0" w:color="auto"/>
        <w:bottom w:val="none" w:sz="0" w:space="0" w:color="auto"/>
        <w:right w:val="none" w:sz="0" w:space="0" w:color="auto"/>
      </w:divBdr>
    </w:div>
    <w:div w:id="18725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materialnaya-otvetstvenno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ndars.ru/college/pravovedenie/rabotodatel-fiz-lic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1687-08CC-4BCB-9F10-AB33308C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Хаук</dc:creator>
  <cp:keywords/>
  <dc:description/>
  <cp:lastModifiedBy>Елена Хаук</cp:lastModifiedBy>
  <cp:revision>2</cp:revision>
  <dcterms:created xsi:type="dcterms:W3CDTF">2019-05-13T09:41:00Z</dcterms:created>
  <dcterms:modified xsi:type="dcterms:W3CDTF">2019-05-13T10:25:00Z</dcterms:modified>
</cp:coreProperties>
</file>